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17F82" w14:textId="77777777" w:rsidR="00BF43B4" w:rsidRDefault="00D37815">
      <w:pPr>
        <w:spacing w:before="120" w:after="60"/>
      </w:pPr>
      <w:r>
        <w:rPr>
          <w:rFonts w:ascii="Calibri" w:eastAsia="Calibri" w:hAnsi="Calibri" w:cs="Calibri"/>
          <w:b/>
          <w:bCs/>
          <w:caps/>
          <w:color w:val="01BFC9"/>
          <w:sz w:val="16"/>
          <w:szCs w:val="16"/>
        </w:rPr>
        <w:t>Research Article</w:t>
      </w:r>
    </w:p>
    <w:p w14:paraId="3E256C3A" w14:textId="77777777" w:rsidR="00BF43B4" w:rsidRDefault="00D37815">
      <w:pPr>
        <w:pStyle w:val="JCoSMLTitle"/>
      </w:pPr>
      <w:r>
        <w:rPr>
          <w:rFonts w:ascii="Times New Roman" w:eastAsia="Times New Roman" w:hAnsi="Times New Roman" w:cs="Times New Roman"/>
          <w:color w:val="1A1A1A"/>
          <w:sz w:val="21"/>
          <w:szCs w:val="21"/>
        </w:rPr>
        <w:t>A Variance-Reduced Adaptive Optimizer for Physics-Informed Neural Networks with Provable Convergence</w:t>
      </w:r>
    </w:p>
    <w:p w14:paraId="3CB5CA48" w14:textId="77777777" w:rsidR="00BF43B4" w:rsidRDefault="00D37815">
      <w:pPr>
        <w:spacing w:after="60"/>
      </w:pPr>
      <w:r>
        <w:rPr>
          <w:rFonts w:ascii="Calibri" w:eastAsia="Calibri" w:hAnsi="Calibri" w:cs="Calibri"/>
        </w:rPr>
        <w:t xml:space="preserve">Ayşe Yılmaz </w:t>
      </w:r>
      <w:r>
        <w:rPr>
          <w:rFonts w:ascii="Calibri" w:eastAsia="Calibri" w:hAnsi="Calibri" w:cs="Calibri"/>
          <w:vertAlign w:val="superscript"/>
        </w:rPr>
        <w:t>a,*</w:t>
      </w:r>
      <w:r>
        <w:rPr>
          <w:rFonts w:ascii="Calibri" w:eastAsia="Calibri" w:hAnsi="Calibri" w:cs="Calibri"/>
        </w:rPr>
        <w:t xml:space="preserve">, Mehmet Demir </w:t>
      </w:r>
      <w:r>
        <w:rPr>
          <w:rFonts w:ascii="Calibri" w:eastAsia="Calibri" w:hAnsi="Calibri" w:cs="Calibri"/>
          <w:vertAlign w:val="superscript"/>
        </w:rPr>
        <w:t>b</w:t>
      </w:r>
      <w:r>
        <w:rPr>
          <w:rFonts w:ascii="Calibri" w:eastAsia="Calibri" w:hAnsi="Calibri" w:cs="Calibri"/>
        </w:rPr>
        <w:t xml:space="preserve">, John A. Smith </w:t>
      </w:r>
      <w:r>
        <w:rPr>
          <w:rFonts w:ascii="Calibri" w:eastAsia="Calibri" w:hAnsi="Calibri" w:cs="Calibri"/>
          <w:vertAlign w:val="superscript"/>
        </w:rPr>
        <w:t>c</w:t>
      </w:r>
    </w:p>
    <w:p w14:paraId="251E0480" w14:textId="77777777" w:rsidR="00BF43B4" w:rsidRDefault="00D37815">
      <w:pPr>
        <w:spacing w:line="200" w:lineRule="auto"/>
      </w:pPr>
      <w:r>
        <w:rPr>
          <w:rFonts w:ascii="Calibri" w:eastAsia="Calibri" w:hAnsi="Calibri" w:cs="Calibri"/>
          <w:color w:val="5A5A5A"/>
          <w:sz w:val="15"/>
          <w:szCs w:val="15"/>
          <w:vertAlign w:val="superscript"/>
        </w:rPr>
        <w:t>a</w:t>
      </w:r>
      <w:r>
        <w:rPr>
          <w:rFonts w:ascii="Calibri" w:eastAsia="Calibri" w:hAnsi="Calibri" w:cs="Calibri"/>
          <w:color w:val="5A5A5A"/>
          <w:sz w:val="15"/>
          <w:szCs w:val="15"/>
        </w:rPr>
        <w:t xml:space="preserve"> Department of Computer Engineering, Amasya University, 05100 Amasya, Türkiye</w:t>
      </w:r>
    </w:p>
    <w:p w14:paraId="0B9F5BE6" w14:textId="77777777" w:rsidR="00BF43B4" w:rsidRDefault="00D37815">
      <w:pPr>
        <w:spacing w:line="200" w:lineRule="auto"/>
      </w:pPr>
      <w:r>
        <w:rPr>
          <w:rFonts w:ascii="Calibri" w:eastAsia="Calibri" w:hAnsi="Calibri" w:cs="Calibri"/>
          <w:color w:val="5A5A5A"/>
          <w:sz w:val="15"/>
          <w:szCs w:val="15"/>
          <w:vertAlign w:val="superscript"/>
        </w:rPr>
        <w:t>b</w:t>
      </w:r>
      <w:r>
        <w:rPr>
          <w:rFonts w:ascii="Calibri" w:eastAsia="Calibri" w:hAnsi="Calibri" w:cs="Calibri"/>
          <w:color w:val="5A5A5A"/>
          <w:sz w:val="15"/>
          <w:szCs w:val="15"/>
        </w:rPr>
        <w:t xml:space="preserve"> Institute of Applied Mathematics, Middle East Technical University, 06800 Ankara, Türkiye</w:t>
      </w:r>
    </w:p>
    <w:p w14:paraId="7B953F46" w14:textId="77777777" w:rsidR="00BF43B4" w:rsidRDefault="00D37815">
      <w:pPr>
        <w:spacing w:line="200" w:lineRule="auto"/>
      </w:pPr>
      <w:r>
        <w:rPr>
          <w:rFonts w:ascii="Calibri" w:eastAsia="Calibri" w:hAnsi="Calibri" w:cs="Calibri"/>
          <w:color w:val="5A5A5A"/>
          <w:sz w:val="15"/>
          <w:szCs w:val="15"/>
          <w:vertAlign w:val="superscript"/>
        </w:rPr>
        <w:t>c</w:t>
      </w:r>
      <w:r>
        <w:rPr>
          <w:rFonts w:ascii="Calibri" w:eastAsia="Calibri" w:hAnsi="Calibri" w:cs="Calibri"/>
          <w:color w:val="5A5A5A"/>
          <w:sz w:val="15"/>
          <w:szCs w:val="15"/>
        </w:rPr>
        <w:t xml:space="preserve"> School of Mathematical Sciences, University of Edinburgh, EH9 3FD Edinburgh, United </w:t>
      </w:r>
      <w:r>
        <w:rPr>
          <w:rFonts w:ascii="Calibri" w:eastAsia="Calibri" w:hAnsi="Calibri" w:cs="Calibri"/>
          <w:color w:val="5A5A5A"/>
          <w:sz w:val="15"/>
          <w:szCs w:val="15"/>
        </w:rPr>
        <w:t>Kingdom</w:t>
      </w:r>
    </w:p>
    <w:p w14:paraId="27A94D87" w14:textId="77777777" w:rsidR="00BF43B4" w:rsidRDefault="00D37815">
      <w:pPr>
        <w:spacing w:before="60" w:after="160"/>
      </w:pPr>
      <w:r>
        <w:rPr>
          <w:rFonts w:ascii="Calibri" w:eastAsia="Calibri" w:hAnsi="Calibri" w:cs="Calibri"/>
          <w:color w:val="5A5A5A"/>
          <w:sz w:val="15"/>
          <w:szCs w:val="15"/>
        </w:rPr>
        <w:t xml:space="preserve">* Corresponding author: </w:t>
      </w:r>
      <w:r>
        <w:rPr>
          <w:rFonts w:ascii="Calibri" w:eastAsia="Calibri" w:hAnsi="Calibri" w:cs="Calibri"/>
          <w:color w:val="1163C9"/>
          <w:sz w:val="15"/>
          <w:szCs w:val="15"/>
        </w:rPr>
        <w:t>ayse.yilmaz@amasya.edu.tr</w:t>
      </w:r>
      <w:r>
        <w:rPr>
          <w:rFonts w:ascii="Calibri" w:eastAsia="Calibri" w:hAnsi="Calibri" w:cs="Calibri"/>
          <w:color w:val="5A5A5A"/>
          <w:sz w:val="15"/>
          <w:szCs w:val="15"/>
        </w:rPr>
        <w:t xml:space="preserve">  ·  ORCID: 0000-0002-1825-0097</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000"/>
        <w:gridCol w:w="6638"/>
      </w:tblGrid>
      <w:tr w:rsidR="00BF43B4" w14:paraId="2E26A0EC"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shd w:val="clear" w:color="auto" w:fill="EEF4FB"/>
            <w:tcMar>
              <w:top w:w="160" w:type="dxa"/>
              <w:left w:w="180" w:type="dxa"/>
              <w:bottom w:w="160" w:type="dxa"/>
              <w:right w:w="160" w:type="dxa"/>
            </w:tcMar>
          </w:tcPr>
          <w:p w14:paraId="250FF981" w14:textId="77777777" w:rsidR="00BF43B4" w:rsidRDefault="00D37815">
            <w:pPr>
              <w:spacing w:after="100"/>
            </w:pPr>
            <w:r>
              <w:rPr>
                <w:rFonts w:ascii="Calibri" w:eastAsia="Calibri" w:hAnsi="Calibri" w:cs="Calibri"/>
                <w:b/>
                <w:bCs/>
                <w:caps/>
                <w:color w:val="001864"/>
                <w:sz w:val="17"/>
                <w:szCs w:val="17"/>
              </w:rPr>
              <w:t>Article Info</w:t>
            </w:r>
          </w:p>
          <w:p w14:paraId="70E38BF3" w14:textId="77777777" w:rsidR="00BF43B4" w:rsidRDefault="00D37815">
            <w:pPr>
              <w:spacing w:after="30"/>
            </w:pPr>
            <w:r>
              <w:rPr>
                <w:rFonts w:ascii="Calibri" w:eastAsia="Calibri" w:hAnsi="Calibri" w:cs="Calibri"/>
                <w:b/>
                <w:bCs/>
                <w:sz w:val="16"/>
                <w:szCs w:val="16"/>
              </w:rPr>
              <w:t>Article history</w:t>
            </w:r>
          </w:p>
          <w:p w14:paraId="647CCB0F" w14:textId="77777777" w:rsidR="00BF43B4" w:rsidRDefault="00D37815">
            <w:pPr>
              <w:spacing w:after="10"/>
            </w:pPr>
            <w:r>
              <w:rPr>
                <w:rFonts w:ascii="Calibri" w:eastAsia="Calibri" w:hAnsi="Calibri" w:cs="Calibri"/>
                <w:color w:val="5A5A5A"/>
                <w:sz w:val="16"/>
                <w:szCs w:val="16"/>
              </w:rPr>
              <w:t>Received 12 March 2026</w:t>
            </w:r>
          </w:p>
          <w:p w14:paraId="2286D9F0" w14:textId="77777777" w:rsidR="00BF43B4" w:rsidRDefault="00D37815">
            <w:pPr>
              <w:spacing w:after="10"/>
            </w:pPr>
            <w:r>
              <w:rPr>
                <w:rFonts w:ascii="Calibri" w:eastAsia="Calibri" w:hAnsi="Calibri" w:cs="Calibri"/>
                <w:color w:val="5A5A5A"/>
                <w:sz w:val="16"/>
                <w:szCs w:val="16"/>
              </w:rPr>
              <w:t>Revised 28 April 2026</w:t>
            </w:r>
          </w:p>
          <w:p w14:paraId="2A639DB6" w14:textId="77777777" w:rsidR="00BF43B4" w:rsidRDefault="00D37815">
            <w:pPr>
              <w:spacing w:after="10"/>
            </w:pPr>
            <w:r>
              <w:rPr>
                <w:rFonts w:ascii="Calibri" w:eastAsia="Calibri" w:hAnsi="Calibri" w:cs="Calibri"/>
                <w:color w:val="5A5A5A"/>
                <w:sz w:val="16"/>
                <w:szCs w:val="16"/>
              </w:rPr>
              <w:t>Accepted 15 May 2026</w:t>
            </w:r>
          </w:p>
          <w:p w14:paraId="4AA61A92" w14:textId="77777777" w:rsidR="00BF43B4" w:rsidRDefault="00D37815">
            <w:pPr>
              <w:spacing w:after="140"/>
            </w:pPr>
            <w:r>
              <w:rPr>
                <w:rFonts w:ascii="Calibri" w:eastAsia="Calibri" w:hAnsi="Calibri" w:cs="Calibri"/>
                <w:color w:val="5A5A5A"/>
                <w:sz w:val="16"/>
                <w:szCs w:val="16"/>
              </w:rPr>
              <w:t>Available online 1 June 2026</w:t>
            </w:r>
          </w:p>
          <w:p w14:paraId="61562981" w14:textId="77777777" w:rsidR="00BF43B4" w:rsidRDefault="00D37815">
            <w:pPr>
              <w:spacing w:after="30"/>
            </w:pPr>
            <w:r>
              <w:rPr>
                <w:rFonts w:ascii="Calibri" w:eastAsia="Calibri" w:hAnsi="Calibri" w:cs="Calibri"/>
                <w:b/>
                <w:bCs/>
                <w:sz w:val="16"/>
                <w:szCs w:val="16"/>
              </w:rPr>
              <w:t>Keywords</w:t>
            </w:r>
          </w:p>
          <w:p w14:paraId="41832B3B" w14:textId="77777777" w:rsidR="00BF43B4" w:rsidRDefault="00D37815">
            <w:pPr>
              <w:spacing w:after="10"/>
            </w:pPr>
            <w:r>
              <w:rPr>
                <w:rFonts w:ascii="Calibri" w:eastAsia="Calibri" w:hAnsi="Calibri" w:cs="Calibri"/>
                <w:color w:val="5A5A5A"/>
                <w:sz w:val="16"/>
                <w:szCs w:val="16"/>
              </w:rPr>
              <w:t>Stochastic optimization</w:t>
            </w:r>
          </w:p>
          <w:p w14:paraId="601E4974" w14:textId="77777777" w:rsidR="00BF43B4" w:rsidRDefault="00D37815">
            <w:pPr>
              <w:spacing w:after="10"/>
            </w:pPr>
            <w:r>
              <w:rPr>
                <w:rFonts w:ascii="Calibri" w:eastAsia="Calibri" w:hAnsi="Calibri" w:cs="Calibri"/>
                <w:color w:val="5A5A5A"/>
                <w:sz w:val="16"/>
                <w:szCs w:val="16"/>
              </w:rPr>
              <w:t>Variance reduction</w:t>
            </w:r>
          </w:p>
          <w:p w14:paraId="04F4CAE0" w14:textId="77777777" w:rsidR="00BF43B4" w:rsidRDefault="00D37815">
            <w:pPr>
              <w:spacing w:after="10"/>
            </w:pPr>
            <w:r>
              <w:rPr>
                <w:rFonts w:ascii="Calibri" w:eastAsia="Calibri" w:hAnsi="Calibri" w:cs="Calibri"/>
                <w:color w:val="5A5A5A"/>
                <w:sz w:val="16"/>
                <w:szCs w:val="16"/>
              </w:rPr>
              <w:t>Physics-informed neural networks</w:t>
            </w:r>
          </w:p>
          <w:p w14:paraId="3E179DC9" w14:textId="77777777" w:rsidR="00BF43B4" w:rsidRDefault="00D37815">
            <w:pPr>
              <w:spacing w:after="10"/>
            </w:pPr>
            <w:r>
              <w:rPr>
                <w:rFonts w:ascii="Calibri" w:eastAsia="Calibri" w:hAnsi="Calibri" w:cs="Calibri"/>
                <w:color w:val="5A5A5A"/>
                <w:sz w:val="16"/>
                <w:szCs w:val="16"/>
              </w:rPr>
              <w:t>Adaptive step sizes</w:t>
            </w:r>
          </w:p>
          <w:p w14:paraId="2B0CFA84" w14:textId="77777777" w:rsidR="00BF43B4" w:rsidRDefault="00D37815">
            <w:pPr>
              <w:spacing w:after="140"/>
            </w:pPr>
            <w:r>
              <w:rPr>
                <w:rFonts w:ascii="Calibri" w:eastAsia="Calibri" w:hAnsi="Calibri" w:cs="Calibri"/>
                <w:color w:val="5A5A5A"/>
                <w:sz w:val="16"/>
                <w:szCs w:val="16"/>
              </w:rPr>
              <w:t>Scientific machine learning</w:t>
            </w:r>
          </w:p>
          <w:p w14:paraId="2BF37345" w14:textId="77777777" w:rsidR="00BF43B4" w:rsidRDefault="00D37815">
            <w:pPr>
              <w:spacing w:after="30"/>
            </w:pPr>
            <w:r>
              <w:rPr>
                <w:rFonts w:ascii="Calibri" w:eastAsia="Calibri" w:hAnsi="Calibri" w:cs="Calibri"/>
                <w:b/>
                <w:bCs/>
                <w:sz w:val="16"/>
                <w:szCs w:val="16"/>
              </w:rPr>
              <w:t>2020 MSC</w:t>
            </w:r>
          </w:p>
          <w:p w14:paraId="3599E553" w14:textId="77777777" w:rsidR="00BF43B4" w:rsidRDefault="00D37815">
            <w:r>
              <w:rPr>
                <w:rFonts w:ascii="Calibri" w:eastAsia="Calibri" w:hAnsi="Calibri" w:cs="Calibri"/>
                <w:color w:val="5A5A5A"/>
                <w:sz w:val="16"/>
                <w:szCs w:val="16"/>
              </w:rPr>
              <w:t>65K05 · 68T07 · 90C26</w:t>
            </w:r>
          </w:p>
        </w:tc>
        <w:tc>
          <w:tcPr>
            <w:tcW w:w="6638" w:type="dxa"/>
            <w:tcBorders>
              <w:top w:val="none" w:sz="0" w:space="0" w:color="FFFFFF"/>
              <w:left w:val="none" w:sz="0" w:space="0" w:color="FFFFFF"/>
              <w:bottom w:val="none" w:sz="0" w:space="0" w:color="FFFFFF"/>
              <w:right w:val="none" w:sz="0" w:space="0" w:color="FFFFFF"/>
            </w:tcBorders>
            <w:shd w:val="clear" w:color="auto" w:fill="EEF4FB"/>
            <w:tcMar>
              <w:top w:w="160" w:type="dxa"/>
              <w:left w:w="200" w:type="dxa"/>
              <w:bottom w:w="160" w:type="dxa"/>
              <w:right w:w="200" w:type="dxa"/>
            </w:tcMar>
          </w:tcPr>
          <w:p w14:paraId="6BFF7106" w14:textId="77777777" w:rsidR="00BF43B4" w:rsidRDefault="00D37815">
            <w:pPr>
              <w:spacing w:after="100"/>
            </w:pPr>
            <w:r>
              <w:rPr>
                <w:rFonts w:ascii="Calibri" w:eastAsia="Calibri" w:hAnsi="Calibri" w:cs="Calibri"/>
                <w:b/>
                <w:bCs/>
                <w:color w:val="001864"/>
                <w:sz w:val="19"/>
                <w:szCs w:val="19"/>
              </w:rPr>
              <w:t>Abstract</w:t>
            </w:r>
          </w:p>
          <w:p w14:paraId="419FE525" w14:textId="77777777" w:rsidR="00BF43B4" w:rsidRDefault="00D37815">
            <w:pPr>
              <w:pStyle w:val="JCoSMLAbstract"/>
            </w:pPr>
            <w:r>
              <w:rPr>
                <w:sz w:val="21"/>
                <w:szCs w:val="21"/>
              </w:rPr>
              <w:t>Physics-informed neural networks (PINNs) recast the solution of partial differential equations as the minimisation of a composite residual loss. Training such models is notoriously difficult: the stochastic gradients obtained from randomly sampled collocat</w:t>
            </w:r>
            <w:r>
              <w:rPr>
                <w:sz w:val="21"/>
                <w:szCs w:val="21"/>
              </w:rPr>
              <w:t>ion points exhibit a variance that grows with the stiffness of the underlying operator, and adaptive first-order methods therefore stall far from any stationary point. We propose VR-Adapt, an optimizer that couples a snapshot-based variance-reduction corre</w:t>
            </w:r>
            <w:r>
              <w:rPr>
                <w:sz w:val="21"/>
                <w:szCs w:val="21"/>
              </w:rPr>
              <w:t>ction with a diagonal adaptive preconditioner whose scaling is driven by the residual imbalance between loss terms. We establish a non-asymptotic convergence rate of O(1/√K) to a stationary point for smooth non-convex objectives under bounded-variance assu</w:t>
            </w:r>
            <w:r>
              <w:rPr>
                <w:sz w:val="21"/>
                <w:szCs w:val="21"/>
              </w:rPr>
              <w:t>mptions, and show that the constant degrades only logarithmically with the condition number of the differential operator. On four canonical benchmarks — viscous Burgers, Allen–Cahn, Helmholtz, and two-dimensional Navier–Stokes — VR-Adapt reduces the relati</w:t>
            </w:r>
            <w:r>
              <w:rPr>
                <w:sz w:val="21"/>
                <w:szCs w:val="21"/>
              </w:rPr>
              <w:t>ve L2 error by a factor of three to five compared with Adam at an equal wall-clock budget. An open-source reference implementation is provided.</w:t>
            </w:r>
          </w:p>
        </w:tc>
      </w:tr>
    </w:tbl>
    <w:p w14:paraId="1AF84777" w14:textId="77777777" w:rsidR="00BF43B4" w:rsidRDefault="00BF43B4">
      <w:pPr>
        <w:pBdr>
          <w:bottom w:val="single" w:sz="6" w:space="0" w:color="C9D8EC"/>
        </w:pBdr>
        <w:spacing w:before="160" w:after="200"/>
      </w:pPr>
    </w:p>
    <w:p w14:paraId="41DA6FE1" w14:textId="77777777" w:rsidR="00BF43B4" w:rsidRDefault="00D37815">
      <w:pPr>
        <w:pStyle w:val="Balk1"/>
      </w:pPr>
      <w:r>
        <w:rPr>
          <w:rFonts w:ascii="Times New Roman" w:eastAsia="Times New Roman" w:hAnsi="Times New Roman" w:cs="Times New Roman"/>
          <w:color w:val="1A1A1A"/>
          <w:sz w:val="21"/>
          <w:szCs w:val="21"/>
        </w:rPr>
        <w:t>1.  Introduction</w:t>
      </w:r>
    </w:p>
    <w:p w14:paraId="7402E7CC" w14:textId="77777777" w:rsidR="00BF43B4" w:rsidRDefault="00D37815">
      <w:pPr>
        <w:pStyle w:val="JCoSMLBody"/>
      </w:pPr>
      <w:r>
        <w:t>Scientific machine learning sits at the intersection of numerical analysis and statistical le</w:t>
      </w:r>
      <w:r>
        <w:t>arning, and its central computational primitive is optimization. When a differential operator is embedded in the training objective, as in physics-informed neural networks (PINNs) [2], [3], the resulting problem inherits the ill-conditioning of the operato</w:t>
      </w:r>
      <w:r>
        <w:t>r while retaining the non-convexity of the network parameterisation. Practitioners routinely observe that adaptive first-order methods make rapid initial progress and then stagnate several orders of magnitude above the accuracy attainable by classical solv</w:t>
      </w:r>
      <w:r>
        <w:t>ers [11].</w:t>
      </w:r>
    </w:p>
    <w:p w14:paraId="2E836DE1" w14:textId="77777777" w:rsidR="00BF43B4" w:rsidRDefault="00D37815">
      <w:pPr>
        <w:pStyle w:val="JCoSMLBodyIndented"/>
      </w:pPr>
      <w:r>
        <w:t>Two mechanisms are usually held responsible. The first is gradient noise: collocation points are resampled at every iteration, and the variance of the resulting estimator scales with the magnitude of high-order derivatives appearing in the residu</w:t>
      </w:r>
      <w:r>
        <w:t>al [10]. The second is loss imbalance: the residual, boundary, and initial-condition terms are summed with fixed weights, so a single term can dominate the descent direction throughout training. Existing remedies address these mechanisms in isolation — var</w:t>
      </w:r>
      <w:r>
        <w:t>iance reduction on the one hand [6], [8], adaptive weighting on the other [13] — and the interaction between them has received little attention.</w:t>
      </w:r>
    </w:p>
    <w:p w14:paraId="031B1274" w14:textId="77777777" w:rsidR="00BF43B4" w:rsidRDefault="00D37815">
      <w:pPr>
        <w:pStyle w:val="JCoSMLBodyIndented"/>
      </w:pPr>
      <w:r>
        <w:t>This paper argues that the two mechanisms should be treated jointly. We introduce VR-Adapt, which applies a sna</w:t>
      </w:r>
      <w:r>
        <w:t xml:space="preserve">pshot correction of the SVRG type inside an adaptive preconditioned update whose loss weights are re-estimated </w:t>
      </w:r>
      <w:r>
        <w:lastRenderedPageBreak/>
        <w:t>from residual statistics. The correction removes the sampling noise that would otherwise corrupt the second-moment estimate, and the resulting pr</w:t>
      </w:r>
      <w:r>
        <w:t>econditioner is stable enough to admit a convergence guarantee.</w:t>
      </w:r>
    </w:p>
    <w:p w14:paraId="409FAB15" w14:textId="77777777" w:rsidR="00BF43B4" w:rsidRDefault="00D37815">
      <w:pPr>
        <w:pStyle w:val="Balk2"/>
      </w:pPr>
      <w:r>
        <w:rPr>
          <w:rFonts w:ascii="Times New Roman" w:eastAsia="Times New Roman" w:hAnsi="Times New Roman" w:cs="Times New Roman"/>
          <w:color w:val="1A1A1A"/>
          <w:sz w:val="21"/>
          <w:szCs w:val="21"/>
        </w:rPr>
        <w:t>1.1.  Contributions</w:t>
      </w:r>
    </w:p>
    <w:p w14:paraId="48730E49" w14:textId="77777777" w:rsidR="00BF43B4" w:rsidRDefault="00D37815">
      <w:pPr>
        <w:pStyle w:val="JCoSMLBody"/>
      </w:pPr>
      <w:r>
        <w:t>The contributions of this work are the following.</w:t>
      </w:r>
    </w:p>
    <w:p w14:paraId="00F7E635" w14:textId="77777777" w:rsidR="00BF43B4" w:rsidRDefault="00D37815">
      <w:pPr>
        <w:pStyle w:val="JCoSMLBody"/>
        <w:ind w:left="340" w:hanging="340"/>
      </w:pPr>
      <w:r>
        <w:rPr>
          <w:b/>
          <w:bCs/>
        </w:rPr>
        <w:t xml:space="preserve">(i)  </w:t>
      </w:r>
      <w:r>
        <w:t>A new optimizer, VR-Adapt, that couples snapshot variance reduction with residual-driven adaptive weighting at a per-iteration cost comparable to Adam.</w:t>
      </w:r>
    </w:p>
    <w:p w14:paraId="41473102" w14:textId="77777777" w:rsidR="00BF43B4" w:rsidRDefault="00D37815">
      <w:pPr>
        <w:pStyle w:val="JCoSMLBody"/>
        <w:ind w:left="340" w:hanging="340"/>
      </w:pPr>
      <w:r>
        <w:rPr>
          <w:b/>
          <w:bCs/>
        </w:rPr>
        <w:t xml:space="preserve">(ii)  </w:t>
      </w:r>
      <w:r>
        <w:t>A non-asymptotic convergence analysis for smooth non-convex objectives, giving an O(1/√K) rate who</w:t>
      </w:r>
      <w:r>
        <w:t>se constant depends only logarithmically on the operator condition number (Theorem 1).</w:t>
      </w:r>
    </w:p>
    <w:p w14:paraId="632FE494" w14:textId="77777777" w:rsidR="00BF43B4" w:rsidRDefault="00D37815">
      <w:pPr>
        <w:pStyle w:val="JCoSMLBody"/>
        <w:spacing w:after="100"/>
        <w:ind w:left="340" w:hanging="340"/>
      </w:pPr>
      <w:r>
        <w:rPr>
          <w:b/>
          <w:bCs/>
        </w:rPr>
        <w:t xml:space="preserve">(iii)  </w:t>
      </w:r>
      <w:r>
        <w:t>An empirical study on four canonical benchmarks, together with an ablation isolating the contribution of each component and a publicly available reference impleme</w:t>
      </w:r>
      <w:r>
        <w:t>ntation.</w:t>
      </w:r>
    </w:p>
    <w:p w14:paraId="3F60F8AD" w14:textId="77777777" w:rsidR="00BF43B4" w:rsidRDefault="00D37815">
      <w:pPr>
        <w:pStyle w:val="Balk2"/>
      </w:pPr>
      <w:r>
        <w:rPr>
          <w:rFonts w:ascii="Times New Roman" w:eastAsia="Times New Roman" w:hAnsi="Times New Roman" w:cs="Times New Roman"/>
          <w:color w:val="1A1A1A"/>
          <w:sz w:val="21"/>
          <w:szCs w:val="21"/>
        </w:rPr>
        <w:t>1.2.  Notation and organisation</w:t>
      </w:r>
    </w:p>
    <w:p w14:paraId="0630E8CE" w14:textId="77777777" w:rsidR="00BF43B4" w:rsidRDefault="00D37815">
      <w:pPr>
        <w:pStyle w:val="JCoSMLBody"/>
      </w:pPr>
      <w:r>
        <w:t xml:space="preserve">Throughout, ‖·‖ denotes the Euclidean norm on Rd, ⊙ and ⊘ denote element-wise multiplication and division, and E[·] is the expectation with respect to the sampling of collocation points. The parameter vector is θ ∈ </w:t>
      </w:r>
      <w:r>
        <w:t>Rd and the objective is F : Rd → R. Section 2 reviews related work, Section 3 states the problem and the standing assumptions, Section 4 develops the method, Section 5 reports the numerical experiments, and Section 6 discusses limitations and directions fo</w:t>
      </w:r>
      <w:r>
        <w:t>r further work. Proofs omitted from the main text are collected in Appendix A.</w:t>
      </w:r>
    </w:p>
    <w:p w14:paraId="1D5FE627" w14:textId="77777777" w:rsidR="00BF43B4" w:rsidRDefault="00D37815">
      <w:pPr>
        <w:pStyle w:val="Balk1"/>
      </w:pPr>
      <w:r>
        <w:rPr>
          <w:rFonts w:ascii="Times New Roman" w:eastAsia="Times New Roman" w:hAnsi="Times New Roman" w:cs="Times New Roman"/>
          <w:color w:val="1A1A1A"/>
          <w:sz w:val="21"/>
          <w:szCs w:val="21"/>
        </w:rPr>
        <w:t>2.  Related Work</w:t>
      </w:r>
    </w:p>
    <w:p w14:paraId="030D2C4E" w14:textId="77777777" w:rsidR="00BF43B4" w:rsidRDefault="00D37815">
      <w:pPr>
        <w:pStyle w:val="JCoSMLBody"/>
      </w:pPr>
      <w:r>
        <w:rPr>
          <w:b/>
          <w:bCs/>
        </w:rPr>
        <w:t>Adaptive first-order methods.</w:t>
      </w:r>
      <w:r>
        <w:t xml:space="preserve">  AdaGrad [7] introduced per-coordinate step sizes derived from accumulated squared gradients; Adam [1] replaced the accumulation b</w:t>
      </w:r>
      <w:r>
        <w:t>y an exponential moving average and remains the default choice in scientific machine learning. The convergence analysis of Adam was later shown to be flawed for a class of online problems, and corrected variants were proposed [9]. None of these methods exp</w:t>
      </w:r>
      <w:r>
        <w:t>loits the finite-sum structure that arises when the collocation set is fixed between resampling events.</w:t>
      </w:r>
    </w:p>
    <w:p w14:paraId="2B69606A" w14:textId="77777777" w:rsidR="00BF43B4" w:rsidRDefault="00D37815">
      <w:pPr>
        <w:pStyle w:val="JCoSMLBodyIndented"/>
      </w:pPr>
      <w:r>
        <w:rPr>
          <w:b/>
          <w:bCs/>
        </w:rPr>
        <w:t>Variance reduction.</w:t>
      </w:r>
      <w:r>
        <w:t xml:space="preserve">  SVRG [6] and SAGA [8] attain linear rates on strongly convex finite sums by correcting the stochastic gradient with a stored snapsh</w:t>
      </w:r>
      <w:r>
        <w:t>ot. Their behaviour in the non-convex deep-learning regime is more delicate, and their combination with adaptive preconditioners has largely been treated as heuristic. A comprehensive account of stochastic methods for large-scale learning is given in [5].</w:t>
      </w:r>
    </w:p>
    <w:p w14:paraId="04A47F35" w14:textId="77777777" w:rsidR="00BF43B4" w:rsidRDefault="00D37815">
      <w:pPr>
        <w:pStyle w:val="JCoSMLBodyIndented"/>
      </w:pPr>
      <w:r>
        <w:rPr>
          <w:b/>
          <w:bCs/>
        </w:rPr>
        <w:t>Training of PINNs.</w:t>
      </w:r>
      <w:r>
        <w:t xml:space="preserve">  Gradient pathologies specific to physics-informed losses were characterised in [10], and self-adaptive weighting schemes were proposed in [13]. Failure modes attributable to the loss landscape rather than to the optimizer were catalogue</w:t>
      </w:r>
      <w:r>
        <w:t>d in [11]. Software support is provided by DeepXDE [12]. Our contribution is complementary: we keep the architecture and the sampling strategy fixed and modify only the optimizer.</w:t>
      </w:r>
    </w:p>
    <w:p w14:paraId="35B0BD51" w14:textId="77777777" w:rsidR="00BF43B4" w:rsidRDefault="00D37815">
      <w:pPr>
        <w:pStyle w:val="Balk1"/>
      </w:pPr>
      <w:r>
        <w:rPr>
          <w:rFonts w:ascii="Times New Roman" w:eastAsia="Times New Roman" w:hAnsi="Times New Roman" w:cs="Times New Roman"/>
          <w:color w:val="1A1A1A"/>
          <w:sz w:val="21"/>
          <w:szCs w:val="21"/>
        </w:rPr>
        <w:t>3.  Problem Formulation</w:t>
      </w:r>
    </w:p>
    <w:p w14:paraId="585B9495" w14:textId="77777777" w:rsidR="00BF43B4" w:rsidRDefault="00D37815">
      <w:pPr>
        <w:pStyle w:val="JCoSMLBody"/>
      </w:pPr>
      <w:r>
        <w:t>Let Ω ⊂ Rn be a bounded domain with boundary ∂Ω and let N denote a differential operator. We seek u : Ω → R satisfying N[u](x) = f(x) on Ω subject to boundary and initial conditions. A neural surrogate uθ is trained by minimising the composite objective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8100"/>
        <w:gridCol w:w="1538"/>
      </w:tblGrid>
      <w:tr w:rsidR="00BF43B4" w14:paraId="598EAB13" w14:textId="77777777">
        <w:tblPrEx>
          <w:tblCellMar>
            <w:top w:w="0" w:type="dxa"/>
            <w:bottom w:w="0" w:type="dxa"/>
          </w:tblCellMar>
        </w:tblPrEx>
        <w:tc>
          <w:tcPr>
            <w:tcW w:w="8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C5FEEE5" w14:textId="77777777" w:rsidR="00BF43B4" w:rsidRDefault="00D37815">
            <w:pPr>
              <w:spacing w:before="120" w:after="120"/>
              <w:jc w:val="center"/>
            </w:pPr>
            <m:oMathPara>
              <m:oMath>
                <m:sSub>
                  <m:sSubPr>
                    <m:ctrlPr>
                      <w:rPr>
                        <w:rFonts w:ascii="Cambria Math" w:hAnsi="Cambria Math"/>
                      </w:rPr>
                    </m:ctrlPr>
                  </m:sSubPr>
                  <m:e>
                    <m:r>
                      <w:rPr>
                        <w:rFonts w:ascii="Cambria Math" w:hAnsi="Cambria Math"/>
                      </w:rPr>
                      <m:t>F</m:t>
                    </m:r>
                  </m:e>
                  <m:sub>
                    <m:r>
                      <w:rPr>
                        <w:rFonts w:ascii="Cambria Math" w:hAnsi="Cambria Math"/>
                      </w:rPr>
                      <m:t>λ</m:t>
                    </m:r>
                  </m:sub>
                </m:sSub>
                <m:r>
                  <w:rPr>
                    <w:rFonts w:ascii="Cambria Math" w:hAnsi="Cambria Math"/>
                  </w:rPr>
                  <m:t>(</m:t>
                </m:r>
                <m:r>
                  <w:rPr>
                    <w:rFonts w:ascii="Cambria Math" w:hAnsi="Cambria Math"/>
                  </w:rPr>
                  <m:t>θ</m:t>
                </m:r>
                <m:r>
                  <w:rPr>
                    <w:rFonts w:ascii="Cambria Math" w:hAnsi="Cambria Math"/>
                  </w:rPr>
                  <m:t xml:space="preserve">) = </m:t>
                </m:r>
                <m:sSub>
                  <m:sSubPr>
                    <m:ctrlPr>
                      <w:rPr>
                        <w:rFonts w:ascii="Cambria Math" w:hAnsi="Cambria Math"/>
                      </w:rPr>
                    </m:ctrlPr>
                  </m:sSubPr>
                  <m:e>
                    <m:r>
                      <w:rPr>
                        <w:rFonts w:ascii="Cambria Math" w:hAnsi="Cambria Math"/>
                      </w:rPr>
                      <m:t>λ</m:t>
                    </m:r>
                  </m:e>
                  <m:sub>
                    <m:r>
                      <w:rPr>
                        <w:rFonts w:ascii="Cambria Math" w:hAnsi="Cambria Math"/>
                      </w:rPr>
                      <m:t>r</m:t>
                    </m:r>
                  </m:sub>
                </m:sSub>
                <m:sSub>
                  <m:sSubPr>
                    <m:ctrlPr>
                      <w:rPr>
                        <w:rFonts w:ascii="Cambria Math" w:hAnsi="Cambria Math"/>
                      </w:rPr>
                    </m:ctrlPr>
                  </m:sSubPr>
                  <m:e>
                    <m:r>
                      <w:rPr>
                        <w:rFonts w:ascii="Cambria Math" w:hAnsi="Cambria Math"/>
                      </w:rPr>
                      <m:t>L</m:t>
                    </m:r>
                  </m:e>
                  <m:sub>
                    <m:r>
                      <w:rPr>
                        <w:rFonts w:ascii="Cambria Math" w:hAnsi="Cambria Math"/>
                      </w:rPr>
                      <m:t>r</m:t>
                    </m:r>
                  </m:sub>
                </m:sSub>
                <m:r>
                  <w:rPr>
                    <w:rFonts w:ascii="Cambria Math" w:hAnsi="Cambria Math"/>
                  </w:rPr>
                  <m:t>(</m:t>
                </m:r>
                <m:r>
                  <w:rPr>
                    <w:rFonts w:ascii="Cambria Math" w:hAnsi="Cambria Math"/>
                  </w:rPr>
                  <m:t>θ</m:t>
                </m:r>
                <m:r>
                  <w:rPr>
                    <w:rFonts w:ascii="Cambria Math" w:hAnsi="Cambria Math"/>
                  </w:rPr>
                  <m:t xml:space="preserve">) + </m:t>
                </m:r>
                <m:sSub>
                  <m:sSubPr>
                    <m:ctrlPr>
                      <w:rPr>
                        <w:rFonts w:ascii="Cambria Math" w:hAnsi="Cambria Math"/>
                      </w:rPr>
                    </m:ctrlPr>
                  </m:sSubPr>
                  <m:e>
                    <m:r>
                      <w:rPr>
                        <w:rFonts w:ascii="Cambria Math" w:hAnsi="Cambria Math"/>
                      </w:rPr>
                      <m:t>λ</m:t>
                    </m:r>
                  </m:e>
                  <m:sub>
                    <m:r>
                      <w:rPr>
                        <w:rFonts w:ascii="Cambria Math" w:hAnsi="Cambria Math"/>
                      </w:rPr>
                      <m:t>b</m:t>
                    </m:r>
                  </m:sub>
                </m:sSub>
                <m:sSub>
                  <m:sSubPr>
                    <m:ctrlPr>
                      <w:rPr>
                        <w:rFonts w:ascii="Cambria Math" w:hAnsi="Cambria Math"/>
                      </w:rPr>
                    </m:ctrlPr>
                  </m:sSubPr>
                  <m:e>
                    <m:r>
                      <w:rPr>
                        <w:rFonts w:ascii="Cambria Math" w:hAnsi="Cambria Math"/>
                      </w:rPr>
                      <m:t>L</m:t>
                    </m:r>
                  </m:e>
                  <m:sub>
                    <m:r>
                      <w:rPr>
                        <w:rFonts w:ascii="Cambria Math" w:hAnsi="Cambria Math"/>
                      </w:rPr>
                      <m:t>b</m:t>
                    </m:r>
                  </m:sub>
                </m:sSub>
                <m:r>
                  <w:rPr>
                    <w:rFonts w:ascii="Cambria Math" w:hAnsi="Cambria Math"/>
                  </w:rPr>
                  <m:t>(</m:t>
                </m:r>
                <m:r>
                  <w:rPr>
                    <w:rFonts w:ascii="Cambria Math" w:hAnsi="Cambria Math"/>
                  </w:rPr>
                  <m:t>θ</m:t>
                </m:r>
                <m:r>
                  <w:rPr>
                    <w:rFonts w:ascii="Cambria Math" w:hAnsi="Cambria Math"/>
                  </w:rPr>
                  <m:t xml:space="preserve">) + </m:t>
                </m:r>
                <m:sSub>
                  <m:sSubPr>
                    <m:ctrlPr>
                      <w:rPr>
                        <w:rFonts w:ascii="Cambria Math" w:hAnsi="Cambria Math"/>
                      </w:rPr>
                    </m:ctrlPr>
                  </m:sSubPr>
                  <m:e>
                    <m:r>
                      <w:rPr>
                        <w:rFonts w:ascii="Cambria Math" w:hAnsi="Cambria Math"/>
                      </w:rPr>
                      <m:t>λ</m:t>
                    </m:r>
                  </m:e>
                  <m:sub>
                    <m:r>
                      <w:rPr>
                        <w:rFonts w:ascii="Cambria Math" w:hAnsi="Cambria Math"/>
                      </w:rPr>
                      <m:t>0</m:t>
                    </m:r>
                  </m:sub>
                </m:sSub>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m:t>
                </m:r>
                <m:r>
                  <w:rPr>
                    <w:rFonts w:ascii="Cambria Math" w:hAnsi="Cambria Math"/>
                  </w:rPr>
                  <m:t>θ</m:t>
                </m:r>
                <m:r>
                  <w:rPr>
                    <w:rFonts w:ascii="Cambria Math" w:hAnsi="Cambria Math"/>
                  </w:rPr>
                  <m:t>),</m:t>
                </m:r>
              </m:oMath>
            </m:oMathPara>
          </w:p>
        </w:tc>
        <w:tc>
          <w:tcPr>
            <w:tcW w:w="15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75CAE12" w14:textId="77777777" w:rsidR="00BF43B4" w:rsidRDefault="00D37815">
            <w:pPr>
              <w:spacing w:before="120" w:after="120"/>
              <w:jc w:val="right"/>
            </w:pPr>
            <w:r>
              <w:t>(1)</w:t>
            </w:r>
          </w:p>
        </w:tc>
      </w:tr>
    </w:tbl>
    <w:p w14:paraId="5145DD21" w14:textId="77777777" w:rsidR="00BF43B4" w:rsidRDefault="00D37815">
      <w:pPr>
        <w:pStyle w:val="JCoSMLBody"/>
      </w:pPr>
      <w:r>
        <w:t>where the residual term is an empirical average over Nr interior collocation points,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8100"/>
        <w:gridCol w:w="1538"/>
      </w:tblGrid>
      <w:tr w:rsidR="00BF43B4" w14:paraId="35506322" w14:textId="77777777">
        <w:tblPrEx>
          <w:tblCellMar>
            <w:top w:w="0" w:type="dxa"/>
            <w:bottom w:w="0" w:type="dxa"/>
          </w:tblCellMar>
        </w:tblPrEx>
        <w:tc>
          <w:tcPr>
            <w:tcW w:w="8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041240B" w14:textId="77777777" w:rsidR="00BF43B4" w:rsidRDefault="00D37815">
            <w:pPr>
              <w:spacing w:before="120" w:after="120"/>
              <w:jc w:val="center"/>
            </w:pPr>
            <m:oMathPara>
              <m:oMath>
                <m:sSub>
                  <m:sSubPr>
                    <m:ctrlPr>
                      <w:rPr>
                        <w:rFonts w:ascii="Cambria Math" w:hAnsi="Cambria Math"/>
                      </w:rPr>
                    </m:ctrlPr>
                  </m:sSubPr>
                  <m:e>
                    <m:r>
                      <w:rPr>
                        <w:rFonts w:ascii="Cambria Math" w:hAnsi="Cambria Math"/>
                      </w:rPr>
                      <m:t>L</m:t>
                    </m:r>
                  </m:e>
                  <m:sub>
                    <m:r>
                      <w:rPr>
                        <w:rFonts w:ascii="Cambria Math" w:hAnsi="Cambria Math"/>
                      </w:rPr>
                      <m:t>r</m:t>
                    </m:r>
                  </m:sub>
                </m:sSub>
                <m:r>
                  <w:rPr>
                    <w:rFonts w:ascii="Cambria Math" w:hAnsi="Cambria Math"/>
                  </w:rPr>
                  <m:t>(</m:t>
                </m:r>
                <m:r>
                  <w:rPr>
                    <w:rFonts w:ascii="Cambria Math" w:hAnsi="Cambria Math"/>
                  </w:rPr>
                  <m:t>θ</m:t>
                </m:r>
                <m:r>
                  <w:rPr>
                    <w:rFonts w:ascii="Cambria Math" w:hAnsi="Cambria Math"/>
                  </w:rPr>
                  <m:t xml:space="preserve">) = </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rPr>
                    </m:ctrlPr>
                  </m:naryPr>
                  <m:sub>
                    <m:r>
                      <w:rPr>
                        <w:rFonts w:ascii="Cambria Math" w:hAnsi="Cambria Math"/>
                      </w:rPr>
                      <m:t>i</m:t>
                    </m:r>
                    <m:r>
                      <w:rPr>
                        <w:rFonts w:ascii="Cambria Math" w:hAnsi="Cambria Math"/>
                      </w:rPr>
                      <m:t xml:space="preserve"> = 1</m:t>
                    </m:r>
                  </m:sub>
                  <m:sup>
                    <m:sSub>
                      <m:sSubPr>
                        <m:ctrlPr>
                          <w:rPr>
                            <w:rFonts w:ascii="Cambria Math" w:hAnsi="Cambria Math"/>
                          </w:rPr>
                        </m:ctrlPr>
                      </m:sSubPr>
                      <m:e>
                        <m:r>
                          <w:rPr>
                            <w:rFonts w:ascii="Cambria Math" w:hAnsi="Cambria Math"/>
                          </w:rPr>
                          <m:t>N</m:t>
                        </m:r>
                      </m:e>
                      <m:sub>
                        <m:r>
                          <w:rPr>
                            <w:rFonts w:ascii="Cambria Math" w:hAnsi="Cambria Math"/>
                          </w:rPr>
                          <m:t>r</m:t>
                        </m:r>
                      </m:sub>
                    </m:sSub>
                  </m:sup>
                  <m:e>
                    <m:sSup>
                      <m:sSupPr>
                        <m:ctrlPr>
                          <w:rPr>
                            <w:rFonts w:ascii="Cambria Math" w:hAnsi="Cambria Math"/>
                          </w:rPr>
                        </m:ctrlPr>
                      </m:sSupPr>
                      <m:e>
                        <m:r>
                          <w:rPr>
                            <w:rFonts w:ascii="Cambria Math" w:hAnsi="Cambria Math"/>
                          </w:rPr>
                          <m:t>|</m:t>
                        </m:r>
                        <m:r>
                          <w:rPr>
                            <w:rFonts w:ascii="Cambria Math" w:hAnsi="Cambria Math"/>
                          </w:rPr>
                          <m:t>N</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θ</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 xml:space="preserve">) - </m:t>
                        </m:r>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e>
                      <m:sup>
                        <m:r>
                          <w:rPr>
                            <w:rFonts w:ascii="Cambria Math" w:hAnsi="Cambria Math"/>
                          </w:rPr>
                          <m:t>2</m:t>
                        </m:r>
                      </m:sup>
                    </m:sSup>
                  </m:e>
                </m:nary>
                <m:r>
                  <w:rPr>
                    <w:rFonts w:ascii="Cambria Math" w:hAnsi="Cambria Math"/>
                  </w:rPr>
                  <m:t xml:space="preserve"> ,</m:t>
                </m:r>
              </m:oMath>
            </m:oMathPara>
          </w:p>
        </w:tc>
        <w:tc>
          <w:tcPr>
            <w:tcW w:w="15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E10606F" w14:textId="77777777" w:rsidR="00BF43B4" w:rsidRDefault="00D37815">
            <w:pPr>
              <w:spacing w:before="120" w:after="120"/>
              <w:jc w:val="right"/>
            </w:pPr>
            <w:r>
              <w:t>(2)</w:t>
            </w:r>
          </w:p>
        </w:tc>
      </w:tr>
    </w:tbl>
    <w:p w14:paraId="67F7EB49" w14:textId="77777777" w:rsidR="00BF43B4" w:rsidRDefault="00D37815">
      <w:pPr>
        <w:pStyle w:val="JCoSMLBody"/>
      </w:pPr>
      <w:r>
        <w:t>and Lb, L0 are defined analogously on the boundary and initial data. We write F for Fλ when the weights are clear from context. The following standing assumptions are used in the analysis; they are standard in the non-convex stochastic optimization literat</w:t>
      </w:r>
      <w:r>
        <w:t>ure [5].</w:t>
      </w:r>
    </w:p>
    <w:p w14:paraId="2D0A4ADA" w14:textId="77777777" w:rsidR="00BF43B4" w:rsidRDefault="00D37815">
      <w:pPr>
        <w:pStyle w:val="JCoSMLTheorem"/>
      </w:pPr>
      <w:r>
        <w:rPr>
          <w:b/>
          <w:bCs/>
        </w:rPr>
        <w:lastRenderedPageBreak/>
        <w:t>Assumption 1 (Smoothness).</w:t>
      </w:r>
      <w:r>
        <w:t xml:space="preserve">  The objective F is continuously differentiable and its gradient is L-Lipschitz, that is ‖∇F(x) − ∇F(y)‖ ≤ L‖x − y‖ for all x, y ∈ Rd.</w:t>
      </w:r>
    </w:p>
    <w:p w14:paraId="7EE66648" w14:textId="77777777" w:rsidR="00BF43B4" w:rsidRDefault="00D37815">
      <w:pPr>
        <w:pStyle w:val="JCoSMLTheorem"/>
      </w:pPr>
      <w:r>
        <w:rPr>
          <w:b/>
          <w:bCs/>
        </w:rPr>
        <w:t>Assumption 2 (Bounded variance).</w:t>
      </w:r>
      <w:r>
        <w:t xml:space="preserve">  For every θ the stochastic gradient estimator g sat</w:t>
      </w:r>
      <w:r>
        <w:t>isfies E[g] = ∇F(θ) and E‖g − ∇F(θ)‖² ≤ σ², with σ² &lt; ∞.</w:t>
      </w:r>
    </w:p>
    <w:p w14:paraId="67EED73C" w14:textId="77777777" w:rsidR="00BF43B4" w:rsidRDefault="00D37815">
      <w:pPr>
        <w:pStyle w:val="JCoSMLTheorem"/>
      </w:pPr>
      <w:r>
        <w:rPr>
          <w:b/>
          <w:bCs/>
        </w:rPr>
        <w:t>Assumption 3 (Bounded preconditioner).</w:t>
      </w:r>
      <w:r>
        <w:t xml:space="preserve">  There exist constants 0 &lt; cmin ≤ cmax &lt; ∞ such that every diagonal preconditioner Hk generated by the algorithm satisfies cmin I ⪯ Hk ⪯ cmax I.</w:t>
      </w:r>
    </w:p>
    <w:p w14:paraId="50C3F508" w14:textId="77777777" w:rsidR="00BF43B4" w:rsidRDefault="00D37815">
      <w:pPr>
        <w:pStyle w:val="JCoSMLBody"/>
      </w:pPr>
      <w:r>
        <w:t>Assumption 3 is</w:t>
      </w:r>
      <w:r>
        <w:t xml:space="preserve"> enforced in practice by the damping parameter ε introduced in Algorithm 1, so it is not restrictive.</w:t>
      </w:r>
    </w:p>
    <w:p w14:paraId="089C24C1" w14:textId="77777777" w:rsidR="00BF43B4" w:rsidRDefault="00D37815">
      <w:pPr>
        <w:pStyle w:val="Balk1"/>
      </w:pPr>
      <w:r>
        <w:rPr>
          <w:rFonts w:ascii="Times New Roman" w:eastAsia="Times New Roman" w:hAnsi="Times New Roman" w:cs="Times New Roman"/>
          <w:color w:val="1A1A1A"/>
          <w:sz w:val="21"/>
          <w:szCs w:val="21"/>
        </w:rPr>
        <w:t>4.  The VR-Adapt Method</w:t>
      </w:r>
    </w:p>
    <w:p w14:paraId="693AA25A" w14:textId="77777777" w:rsidR="00BF43B4" w:rsidRDefault="00D37815">
      <w:pPr>
        <w:pStyle w:val="Balk2"/>
      </w:pPr>
      <w:r>
        <w:rPr>
          <w:rFonts w:ascii="Times New Roman" w:eastAsia="Times New Roman" w:hAnsi="Times New Roman" w:cs="Times New Roman"/>
          <w:color w:val="1A1A1A"/>
          <w:sz w:val="21"/>
          <w:szCs w:val="21"/>
        </w:rPr>
        <w:t>4.1.  Corrected gradient estimator</w:t>
      </w:r>
    </w:p>
    <w:p w14:paraId="09735747" w14:textId="77777777" w:rsidR="00BF43B4" w:rsidRDefault="00D37815">
      <w:pPr>
        <w:pStyle w:val="JCoSMLBody"/>
      </w:pPr>
      <w:r>
        <w:t xml:space="preserve">At the beginning of every outer epoch s the algorithm evaluates a full-batch snapshot gradient </w:t>
      </w:r>
      <w:r>
        <w:t>μs = ∇F(θs) on a freshly drawn collocation set. Inner iterates then use the corrected estimator</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8100"/>
        <w:gridCol w:w="1538"/>
      </w:tblGrid>
      <w:tr w:rsidR="00BF43B4" w14:paraId="19612F1C" w14:textId="77777777">
        <w:tblPrEx>
          <w:tblCellMar>
            <w:top w:w="0" w:type="dxa"/>
            <w:bottom w:w="0" w:type="dxa"/>
          </w:tblCellMar>
        </w:tblPrEx>
        <w:tc>
          <w:tcPr>
            <w:tcW w:w="8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8E7E695" w14:textId="77777777" w:rsidR="00BF43B4" w:rsidRDefault="00D37815">
            <w:pPr>
              <w:spacing w:before="120" w:after="120"/>
              <w:jc w:val="center"/>
            </w:pPr>
            <m:oMathPara>
              <m:oMath>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r>
                  <w:rPr>
                    <w:rFonts w:ascii="Cambria Math" w:hAnsi="Cambria Math"/>
                  </w:rPr>
                  <m:t>∇</m:t>
                </m:r>
                <m:sSub>
                  <m:sSubPr>
                    <m:ctrlPr>
                      <w:rPr>
                        <w:rFonts w:ascii="Cambria Math" w:hAnsi="Cambria Math"/>
                      </w:rPr>
                    </m:ctrlPr>
                  </m:sSubPr>
                  <m:e>
                    <m:r>
                      <w:rPr>
                        <w:rFonts w:ascii="Cambria Math" w:hAnsi="Cambria Math"/>
                      </w:rPr>
                      <m:t>f</m:t>
                    </m:r>
                  </m:e>
                  <m:sub>
                    <m:sSub>
                      <m:sSubPr>
                        <m:ctrlPr>
                          <w:rPr>
                            <w:rFonts w:ascii="Cambria Math" w:hAnsi="Cambria Math"/>
                          </w:rPr>
                        </m:ctrlPr>
                      </m:sSubPr>
                      <m:e>
                        <m:r>
                          <w:rPr>
                            <w:rFonts w:ascii="Cambria Math" w:hAnsi="Cambria Math"/>
                          </w:rPr>
                          <m:t>I</m:t>
                        </m:r>
                      </m:e>
                      <m:sub>
                        <m:r>
                          <w:rPr>
                            <w:rFonts w:ascii="Cambria Math" w:hAnsi="Cambria Math"/>
                          </w:rPr>
                          <m:t>k</m:t>
                        </m:r>
                      </m:sub>
                    </m:sSub>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k</m:t>
                    </m:r>
                  </m:sub>
                </m:sSub>
                <m:r>
                  <w:rPr>
                    <w:rFonts w:ascii="Cambria Math" w:hAnsi="Cambria Math"/>
                  </w:rPr>
                  <m:t xml:space="preserve">) - </m:t>
                </m:r>
                <m:r>
                  <w:rPr>
                    <w:rFonts w:ascii="Cambria Math" w:hAnsi="Cambria Math"/>
                  </w:rPr>
                  <m:t>∇</m:t>
                </m:r>
                <m:sSub>
                  <m:sSubPr>
                    <m:ctrlPr>
                      <w:rPr>
                        <w:rFonts w:ascii="Cambria Math" w:hAnsi="Cambria Math"/>
                      </w:rPr>
                    </m:ctrlPr>
                  </m:sSubPr>
                  <m:e>
                    <m:r>
                      <w:rPr>
                        <w:rFonts w:ascii="Cambria Math" w:hAnsi="Cambria Math"/>
                      </w:rPr>
                      <m:t>f</m:t>
                    </m:r>
                  </m:e>
                  <m:sub>
                    <m:sSub>
                      <m:sSubPr>
                        <m:ctrlPr>
                          <w:rPr>
                            <w:rFonts w:ascii="Cambria Math" w:hAnsi="Cambria Math"/>
                          </w:rPr>
                        </m:ctrlPr>
                      </m:sSubPr>
                      <m:e>
                        <m:r>
                          <w:rPr>
                            <w:rFonts w:ascii="Cambria Math" w:hAnsi="Cambria Math"/>
                          </w:rPr>
                          <m:t>I</m:t>
                        </m:r>
                      </m:e>
                      <m:sub>
                        <m:r>
                          <w:rPr>
                            <w:rFonts w:ascii="Cambria Math" w:hAnsi="Cambria Math"/>
                          </w:rPr>
                          <m:t>k</m:t>
                        </m:r>
                      </m:sub>
                    </m:sSub>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s</m:t>
                    </m:r>
                  </m:sub>
                </m:sSub>
                <m:r>
                  <w:rPr>
                    <w:rFonts w:ascii="Cambria Math" w:hAnsi="Cambria Math"/>
                  </w:rPr>
                  <m:t xml:space="preserve">) + </m:t>
                </m:r>
                <m:sSub>
                  <m:sSubPr>
                    <m:ctrlPr>
                      <w:rPr>
                        <w:rFonts w:ascii="Cambria Math" w:hAnsi="Cambria Math"/>
                      </w:rPr>
                    </m:ctrlPr>
                  </m:sSubPr>
                  <m:e>
                    <m:r>
                      <w:rPr>
                        <w:rFonts w:ascii="Cambria Math" w:hAnsi="Cambria Math"/>
                      </w:rPr>
                      <m:t>μ</m:t>
                    </m:r>
                  </m:e>
                  <m:sub>
                    <m:r>
                      <w:rPr>
                        <w:rFonts w:ascii="Cambria Math" w:hAnsi="Cambria Math"/>
                      </w:rPr>
                      <m:t>s</m:t>
                    </m:r>
                  </m:sub>
                </m:sSub>
                <m:r>
                  <w:rPr>
                    <w:rFonts w:ascii="Cambria Math" w:hAnsi="Cambria Math"/>
                  </w:rPr>
                  <m:t xml:space="preserve"> ,</m:t>
                </m:r>
              </m:oMath>
            </m:oMathPara>
          </w:p>
        </w:tc>
        <w:tc>
          <w:tcPr>
            <w:tcW w:w="15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385A6E9" w14:textId="77777777" w:rsidR="00BF43B4" w:rsidRDefault="00D37815">
            <w:pPr>
              <w:spacing w:before="120" w:after="120"/>
              <w:jc w:val="right"/>
            </w:pPr>
            <w:r>
              <w:t>(3)</w:t>
            </w:r>
          </w:p>
        </w:tc>
      </w:tr>
    </w:tbl>
    <w:p w14:paraId="4058FF51" w14:textId="77777777" w:rsidR="00BF43B4" w:rsidRDefault="00D37815">
      <w:pPr>
        <w:pStyle w:val="JCoSMLBody"/>
      </w:pPr>
      <w:r>
        <w:t>which is unbiased and whose variance contracts as wk approaches θs. Substituting (3) into the second-moment recursion of an adaptive method is the key step: because the correction removes most of the sampling noise, the accumulated statistics reflect curva</w:t>
      </w:r>
      <w:r>
        <w:t>ture rather than variance, and the effective step sizes stop shrinking prematurely.</w:t>
      </w:r>
    </w:p>
    <w:p w14:paraId="31479E78" w14:textId="77777777" w:rsidR="00BF43B4" w:rsidRDefault="00D37815">
      <w:pPr>
        <w:pStyle w:val="Balk2"/>
      </w:pPr>
      <w:r>
        <w:rPr>
          <w:rFonts w:ascii="Times New Roman" w:eastAsia="Times New Roman" w:hAnsi="Times New Roman" w:cs="Times New Roman"/>
          <w:color w:val="1A1A1A"/>
          <w:sz w:val="21"/>
          <w:szCs w:val="21"/>
        </w:rPr>
        <w:t>4.2.  Residual-driven weight rebalancing</w:t>
      </w:r>
    </w:p>
    <w:p w14:paraId="2397257B" w14:textId="77777777" w:rsidR="00BF43B4" w:rsidRDefault="00D37815">
      <w:pPr>
        <w:pStyle w:val="JCoSMLBody"/>
      </w:pPr>
      <w:r>
        <w:t>The weights λr, λb, λ0 are updated every inner iteration so that the expected contribution of each term to the corrected gradient n</w:t>
      </w:r>
      <w:r>
        <w:t>orm is equalised. Writing rt for the running mean of ‖∇Lt(θ)‖ over the preceding window, the rule is λt ← (Σj rj) / (3 rt), clipped to a fixed interval to avoid degenerate scalings. The complete procedure is summarised in Algorithm 1.</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BF43B4" w14:paraId="3AACF810" w14:textId="77777777">
        <w:tblPrEx>
          <w:tblCellMar>
            <w:top w:w="0" w:type="dxa"/>
            <w:bottom w:w="0" w:type="dxa"/>
          </w:tblCellMar>
        </w:tblPrEx>
        <w:tc>
          <w:tcPr>
            <w:tcW w:w="9638" w:type="dxa"/>
            <w:tcBorders>
              <w:top w:val="single" w:sz="12" w:space="0" w:color="001864"/>
              <w:left w:val="none" w:sz="0" w:space="0" w:color="FFFFFF"/>
              <w:bottom w:val="single" w:sz="4" w:space="0" w:color="001864"/>
              <w:right w:val="none" w:sz="0" w:space="0" w:color="FFFFFF"/>
            </w:tcBorders>
            <w:tcMar>
              <w:top w:w="100" w:type="dxa"/>
              <w:left w:w="60" w:type="dxa"/>
              <w:bottom w:w="80" w:type="dxa"/>
              <w:right w:w="60" w:type="dxa"/>
            </w:tcMar>
          </w:tcPr>
          <w:p w14:paraId="7885A8E3" w14:textId="77777777" w:rsidR="00BF43B4" w:rsidRDefault="00D37815">
            <w:pPr>
              <w:spacing w:after="40"/>
            </w:pPr>
            <w:r>
              <w:rPr>
                <w:rFonts w:ascii="Calibri" w:eastAsia="Calibri" w:hAnsi="Calibri" w:cs="Calibri"/>
                <w:b/>
                <w:bCs/>
                <w:color w:val="001864"/>
                <w:sz w:val="18"/>
                <w:szCs w:val="18"/>
              </w:rPr>
              <w:t xml:space="preserve">Algorithm 1  </w:t>
            </w:r>
            <w:r>
              <w:rPr>
                <w:rFonts w:ascii="Calibri" w:eastAsia="Calibri" w:hAnsi="Calibri" w:cs="Calibri"/>
                <w:color w:val="001864"/>
                <w:sz w:val="18"/>
                <w:szCs w:val="18"/>
              </w:rPr>
              <w:t>VR-Adapt</w:t>
            </w:r>
            <w:r>
              <w:rPr>
                <w:rFonts w:ascii="Calibri" w:eastAsia="Calibri" w:hAnsi="Calibri" w:cs="Calibri"/>
                <w:color w:val="001864"/>
                <w:sz w:val="18"/>
                <w:szCs w:val="18"/>
              </w:rPr>
              <w:t>: variance-reduced adaptive training of PINNs</w:t>
            </w:r>
          </w:p>
        </w:tc>
      </w:tr>
      <w:tr w:rsidR="00BF43B4" w14:paraId="6B07395B" w14:textId="77777777">
        <w:tblPrEx>
          <w:tblCellMar>
            <w:top w:w="0" w:type="dxa"/>
            <w:bottom w:w="0" w:type="dxa"/>
          </w:tblCellMar>
        </w:tblPrEx>
        <w:tc>
          <w:tcPr>
            <w:tcW w:w="9638" w:type="dxa"/>
            <w:tcBorders>
              <w:top w:val="none" w:sz="0" w:space="0" w:color="FFFFFF"/>
              <w:left w:val="none" w:sz="0" w:space="0" w:color="FFFFFF"/>
              <w:bottom w:val="single" w:sz="12" w:space="0" w:color="001864"/>
              <w:right w:val="none" w:sz="0" w:space="0" w:color="FFFFFF"/>
            </w:tcBorders>
            <w:tcMar>
              <w:top w:w="100" w:type="dxa"/>
              <w:left w:w="60" w:type="dxa"/>
              <w:bottom w:w="120" w:type="dxa"/>
              <w:right w:w="60" w:type="dxa"/>
            </w:tcMar>
          </w:tcPr>
          <w:p w14:paraId="18B5515C" w14:textId="77777777" w:rsidR="00BF43B4" w:rsidRDefault="00D37815">
            <w:pPr>
              <w:tabs>
                <w:tab w:val="left" w:pos="330"/>
              </w:tabs>
              <w:spacing w:after="20" w:line="220" w:lineRule="auto"/>
              <w:ind w:left="330" w:hanging="330"/>
            </w:pPr>
            <w:r>
              <w:rPr>
                <w:rFonts w:ascii="Calibri" w:eastAsia="Calibri" w:hAnsi="Calibri" w:cs="Calibri"/>
                <w:sz w:val="17"/>
                <w:szCs w:val="17"/>
              </w:rPr>
              <w:tab/>
            </w:r>
            <w:r>
              <w:rPr>
                <w:rFonts w:ascii="Calibri" w:eastAsia="Calibri" w:hAnsi="Calibri" w:cs="Calibri"/>
                <w:i/>
                <w:iCs/>
                <w:sz w:val="17"/>
                <w:szCs w:val="17"/>
              </w:rPr>
              <w:t>Input: initial parameters θ0 ∈ Rd, epoch length m, base step size η &gt; 0, decay β ∈ (0,1), ε &gt; 0.</w:t>
            </w:r>
          </w:p>
          <w:p w14:paraId="7EFEFE33" w14:textId="77777777" w:rsidR="00BF43B4" w:rsidRDefault="00D37815">
            <w:pPr>
              <w:tabs>
                <w:tab w:val="left" w:pos="330"/>
              </w:tabs>
              <w:spacing w:after="20" w:line="220" w:lineRule="auto"/>
              <w:ind w:left="330" w:hanging="330"/>
            </w:pPr>
            <w:r>
              <w:rPr>
                <w:rFonts w:ascii="Calibri" w:eastAsia="Calibri" w:hAnsi="Calibri" w:cs="Calibri"/>
                <w:b/>
                <w:bCs/>
                <w:color w:val="1163C9"/>
                <w:sz w:val="17"/>
                <w:szCs w:val="17"/>
              </w:rPr>
              <w:t>1:</w:t>
            </w:r>
            <w:r>
              <w:rPr>
                <w:rFonts w:ascii="Calibri" w:eastAsia="Calibri" w:hAnsi="Calibri" w:cs="Calibri"/>
                <w:sz w:val="17"/>
                <w:szCs w:val="17"/>
              </w:rPr>
              <w:tab/>
              <w:t>for s = 0, 1, 2, … , S − 1 do</w:t>
            </w:r>
          </w:p>
          <w:p w14:paraId="176AEB2F" w14:textId="77777777" w:rsidR="00BF43B4" w:rsidRDefault="00D37815">
            <w:pPr>
              <w:tabs>
                <w:tab w:val="left" w:pos="610"/>
              </w:tabs>
              <w:spacing w:after="20" w:line="220" w:lineRule="auto"/>
              <w:ind w:left="610" w:hanging="610"/>
            </w:pPr>
            <w:r>
              <w:rPr>
                <w:rFonts w:ascii="Calibri" w:eastAsia="Calibri" w:hAnsi="Calibri" w:cs="Calibri"/>
                <w:b/>
                <w:bCs/>
                <w:color w:val="1163C9"/>
                <w:sz w:val="17"/>
                <w:szCs w:val="17"/>
              </w:rPr>
              <w:t>2:</w:t>
            </w:r>
            <w:r>
              <w:rPr>
                <w:rFonts w:ascii="Calibri" w:eastAsia="Calibri" w:hAnsi="Calibri" w:cs="Calibri"/>
                <w:sz w:val="17"/>
                <w:szCs w:val="17"/>
              </w:rPr>
              <w:tab/>
            </w:r>
            <w:r>
              <w:rPr>
                <w:rFonts w:ascii="Calibri" w:eastAsia="Calibri" w:hAnsi="Calibri" w:cs="Calibri"/>
                <w:sz w:val="17"/>
                <w:szCs w:val="17"/>
              </w:rPr>
              <w:t>Draw a fresh collocation batch and compute the full-batch snapshot gradient μs = ∇F(θs).</w:t>
            </w:r>
          </w:p>
          <w:p w14:paraId="7BCD18E7" w14:textId="77777777" w:rsidR="00BF43B4" w:rsidRDefault="00D37815">
            <w:pPr>
              <w:tabs>
                <w:tab w:val="left" w:pos="610"/>
              </w:tabs>
              <w:spacing w:after="20" w:line="220" w:lineRule="auto"/>
              <w:ind w:left="610" w:hanging="610"/>
            </w:pPr>
            <w:r>
              <w:rPr>
                <w:rFonts w:ascii="Calibri" w:eastAsia="Calibri" w:hAnsi="Calibri" w:cs="Calibri"/>
                <w:b/>
                <w:bCs/>
                <w:color w:val="1163C9"/>
                <w:sz w:val="17"/>
                <w:szCs w:val="17"/>
              </w:rPr>
              <w:t>3:</w:t>
            </w:r>
            <w:r>
              <w:rPr>
                <w:rFonts w:ascii="Calibri" w:eastAsia="Calibri" w:hAnsi="Calibri" w:cs="Calibri"/>
                <w:sz w:val="17"/>
                <w:szCs w:val="17"/>
              </w:rPr>
              <w:tab/>
              <w:t>Set w0 ← θs.</w:t>
            </w:r>
          </w:p>
          <w:p w14:paraId="064143EB" w14:textId="77777777" w:rsidR="00BF43B4" w:rsidRDefault="00D37815">
            <w:pPr>
              <w:tabs>
                <w:tab w:val="left" w:pos="610"/>
              </w:tabs>
              <w:spacing w:after="20" w:line="220" w:lineRule="auto"/>
              <w:ind w:left="610" w:hanging="610"/>
            </w:pPr>
            <w:r>
              <w:rPr>
                <w:rFonts w:ascii="Calibri" w:eastAsia="Calibri" w:hAnsi="Calibri" w:cs="Calibri"/>
                <w:b/>
                <w:bCs/>
                <w:color w:val="1163C9"/>
                <w:sz w:val="17"/>
                <w:szCs w:val="17"/>
              </w:rPr>
              <w:t>4:</w:t>
            </w:r>
            <w:r>
              <w:rPr>
                <w:rFonts w:ascii="Calibri" w:eastAsia="Calibri" w:hAnsi="Calibri" w:cs="Calibri"/>
                <w:sz w:val="17"/>
                <w:szCs w:val="17"/>
              </w:rPr>
              <w:tab/>
              <w:t>for k = 0, 1, … , m − 1 do</w:t>
            </w:r>
          </w:p>
          <w:p w14:paraId="10D7345D" w14:textId="77777777" w:rsidR="00BF43B4" w:rsidRDefault="00D37815">
            <w:pPr>
              <w:tabs>
                <w:tab w:val="left" w:pos="890"/>
              </w:tabs>
              <w:spacing w:after="20" w:line="220" w:lineRule="auto"/>
              <w:ind w:left="890" w:hanging="890"/>
            </w:pPr>
            <w:r>
              <w:rPr>
                <w:rFonts w:ascii="Calibri" w:eastAsia="Calibri" w:hAnsi="Calibri" w:cs="Calibri"/>
                <w:b/>
                <w:bCs/>
                <w:color w:val="1163C9"/>
                <w:sz w:val="17"/>
                <w:szCs w:val="17"/>
              </w:rPr>
              <w:t>5:</w:t>
            </w:r>
            <w:r>
              <w:rPr>
                <w:rFonts w:ascii="Calibri" w:eastAsia="Calibri" w:hAnsi="Calibri" w:cs="Calibri"/>
                <w:sz w:val="17"/>
                <w:szCs w:val="17"/>
              </w:rPr>
              <w:tab/>
              <w:t>Sample an index set Ik uniformly at random without replacement.</w:t>
            </w:r>
          </w:p>
          <w:p w14:paraId="2B008AC9" w14:textId="77777777" w:rsidR="00BF43B4" w:rsidRDefault="00D37815">
            <w:pPr>
              <w:tabs>
                <w:tab w:val="left" w:pos="890"/>
              </w:tabs>
              <w:spacing w:after="20" w:line="220" w:lineRule="auto"/>
              <w:ind w:left="890" w:hanging="890"/>
            </w:pPr>
            <w:r>
              <w:rPr>
                <w:rFonts w:ascii="Calibri" w:eastAsia="Calibri" w:hAnsi="Calibri" w:cs="Calibri"/>
                <w:b/>
                <w:bCs/>
                <w:color w:val="1163C9"/>
                <w:sz w:val="17"/>
                <w:szCs w:val="17"/>
              </w:rPr>
              <w:t>6:</w:t>
            </w:r>
            <w:r>
              <w:rPr>
                <w:rFonts w:ascii="Calibri" w:eastAsia="Calibri" w:hAnsi="Calibri" w:cs="Calibri"/>
                <w:sz w:val="17"/>
                <w:szCs w:val="17"/>
              </w:rPr>
              <w:tab/>
              <w:t>Form the corrected gradient gk via equation (3).</w:t>
            </w:r>
          </w:p>
          <w:p w14:paraId="4ED900EF" w14:textId="77777777" w:rsidR="00BF43B4" w:rsidRDefault="00D37815">
            <w:pPr>
              <w:tabs>
                <w:tab w:val="left" w:pos="890"/>
              </w:tabs>
              <w:spacing w:after="20" w:line="220" w:lineRule="auto"/>
              <w:ind w:left="890" w:hanging="890"/>
            </w:pPr>
            <w:r>
              <w:rPr>
                <w:rFonts w:ascii="Calibri" w:eastAsia="Calibri" w:hAnsi="Calibri" w:cs="Calibri"/>
                <w:b/>
                <w:bCs/>
                <w:color w:val="1163C9"/>
                <w:sz w:val="17"/>
                <w:szCs w:val="17"/>
              </w:rPr>
              <w:t>7:</w:t>
            </w:r>
            <w:r>
              <w:rPr>
                <w:rFonts w:ascii="Calibri" w:eastAsia="Calibri" w:hAnsi="Calibri" w:cs="Calibri"/>
                <w:sz w:val="17"/>
                <w:szCs w:val="17"/>
              </w:rPr>
              <w:tab/>
              <w:t>Update the second-moment estimate vk ← β vk−1 + (1 − β) gk ⊙ gk.</w:t>
            </w:r>
          </w:p>
          <w:p w14:paraId="7605A856" w14:textId="77777777" w:rsidR="00BF43B4" w:rsidRDefault="00D37815">
            <w:pPr>
              <w:tabs>
                <w:tab w:val="left" w:pos="890"/>
              </w:tabs>
              <w:spacing w:after="20" w:line="220" w:lineRule="auto"/>
              <w:ind w:left="890" w:hanging="890"/>
            </w:pPr>
            <w:r>
              <w:rPr>
                <w:rFonts w:ascii="Calibri" w:eastAsia="Calibri" w:hAnsi="Calibri" w:cs="Calibri"/>
                <w:b/>
                <w:bCs/>
                <w:color w:val="1163C9"/>
                <w:sz w:val="17"/>
                <w:szCs w:val="17"/>
              </w:rPr>
              <w:t>8:</w:t>
            </w:r>
            <w:r>
              <w:rPr>
                <w:rFonts w:ascii="Calibri" w:eastAsia="Calibri" w:hAnsi="Calibri" w:cs="Calibri"/>
                <w:sz w:val="17"/>
                <w:szCs w:val="17"/>
              </w:rPr>
              <w:tab/>
              <w:t>Rebalance the loss weights λr, λb, λ0 using the residual statistics of Section 4.2.</w:t>
            </w:r>
          </w:p>
          <w:p w14:paraId="5217F170" w14:textId="77777777" w:rsidR="00BF43B4" w:rsidRDefault="00D37815">
            <w:pPr>
              <w:tabs>
                <w:tab w:val="left" w:pos="890"/>
              </w:tabs>
              <w:spacing w:after="20" w:line="220" w:lineRule="auto"/>
              <w:ind w:left="890" w:hanging="890"/>
            </w:pPr>
            <w:r>
              <w:rPr>
                <w:rFonts w:ascii="Calibri" w:eastAsia="Calibri" w:hAnsi="Calibri" w:cs="Calibri"/>
                <w:b/>
                <w:bCs/>
                <w:color w:val="1163C9"/>
                <w:sz w:val="17"/>
                <w:szCs w:val="17"/>
              </w:rPr>
              <w:t>9:</w:t>
            </w:r>
            <w:r>
              <w:rPr>
                <w:rFonts w:ascii="Calibri" w:eastAsia="Calibri" w:hAnsi="Calibri" w:cs="Calibri"/>
                <w:sz w:val="17"/>
                <w:szCs w:val="17"/>
              </w:rPr>
              <w:tab/>
              <w:t>wk+1 ← wk − η gk ⊘ (√vk + ε).</w:t>
            </w:r>
          </w:p>
          <w:p w14:paraId="7B963BD0" w14:textId="77777777" w:rsidR="00BF43B4" w:rsidRDefault="00D37815">
            <w:pPr>
              <w:tabs>
                <w:tab w:val="left" w:pos="610"/>
              </w:tabs>
              <w:spacing w:after="20" w:line="220" w:lineRule="auto"/>
              <w:ind w:left="610" w:hanging="610"/>
            </w:pPr>
            <w:r>
              <w:rPr>
                <w:rFonts w:ascii="Calibri" w:eastAsia="Calibri" w:hAnsi="Calibri" w:cs="Calibri"/>
                <w:b/>
                <w:bCs/>
                <w:color w:val="1163C9"/>
                <w:sz w:val="17"/>
                <w:szCs w:val="17"/>
              </w:rPr>
              <w:t>10:</w:t>
            </w:r>
            <w:r>
              <w:rPr>
                <w:rFonts w:ascii="Calibri" w:eastAsia="Calibri" w:hAnsi="Calibri" w:cs="Calibri"/>
                <w:sz w:val="17"/>
                <w:szCs w:val="17"/>
              </w:rPr>
              <w:tab/>
              <w:t>end for</w:t>
            </w:r>
          </w:p>
          <w:p w14:paraId="4D818A81" w14:textId="77777777" w:rsidR="00BF43B4" w:rsidRDefault="00D37815">
            <w:pPr>
              <w:tabs>
                <w:tab w:val="left" w:pos="610"/>
              </w:tabs>
              <w:spacing w:after="20" w:line="220" w:lineRule="auto"/>
              <w:ind w:left="610" w:hanging="610"/>
            </w:pPr>
            <w:r>
              <w:rPr>
                <w:rFonts w:ascii="Calibri" w:eastAsia="Calibri" w:hAnsi="Calibri" w:cs="Calibri"/>
                <w:b/>
                <w:bCs/>
                <w:color w:val="1163C9"/>
                <w:sz w:val="17"/>
                <w:szCs w:val="17"/>
              </w:rPr>
              <w:t>11:</w:t>
            </w:r>
            <w:r>
              <w:rPr>
                <w:rFonts w:ascii="Calibri" w:eastAsia="Calibri" w:hAnsi="Calibri" w:cs="Calibri"/>
                <w:sz w:val="17"/>
                <w:szCs w:val="17"/>
              </w:rPr>
              <w:tab/>
              <w:t>θs+1 ← wm.</w:t>
            </w:r>
          </w:p>
          <w:p w14:paraId="7DAB5F16" w14:textId="77777777" w:rsidR="00BF43B4" w:rsidRDefault="00D37815">
            <w:pPr>
              <w:tabs>
                <w:tab w:val="left" w:pos="330"/>
              </w:tabs>
              <w:spacing w:after="20" w:line="220" w:lineRule="auto"/>
              <w:ind w:left="330" w:hanging="330"/>
            </w:pPr>
            <w:r>
              <w:rPr>
                <w:rFonts w:ascii="Calibri" w:eastAsia="Calibri" w:hAnsi="Calibri" w:cs="Calibri"/>
                <w:b/>
                <w:bCs/>
                <w:color w:val="1163C9"/>
                <w:sz w:val="17"/>
                <w:szCs w:val="17"/>
              </w:rPr>
              <w:t>12:</w:t>
            </w:r>
            <w:r>
              <w:rPr>
                <w:rFonts w:ascii="Calibri" w:eastAsia="Calibri" w:hAnsi="Calibri" w:cs="Calibri"/>
                <w:sz w:val="17"/>
                <w:szCs w:val="17"/>
              </w:rPr>
              <w:tab/>
              <w:t>end for</w:t>
            </w:r>
          </w:p>
          <w:p w14:paraId="326BC23C" w14:textId="77777777" w:rsidR="00BF43B4" w:rsidRDefault="00D37815">
            <w:pPr>
              <w:tabs>
                <w:tab w:val="left" w:pos="330"/>
              </w:tabs>
              <w:spacing w:after="20" w:line="220" w:lineRule="auto"/>
              <w:ind w:left="330" w:hanging="330"/>
            </w:pPr>
            <w:r>
              <w:rPr>
                <w:rFonts w:ascii="Calibri" w:eastAsia="Calibri" w:hAnsi="Calibri" w:cs="Calibri"/>
                <w:sz w:val="17"/>
                <w:szCs w:val="17"/>
              </w:rPr>
              <w:tab/>
            </w:r>
            <w:r>
              <w:rPr>
                <w:rFonts w:ascii="Calibri" w:eastAsia="Calibri" w:hAnsi="Calibri" w:cs="Calibri"/>
                <w:i/>
                <w:iCs/>
                <w:sz w:val="17"/>
                <w:szCs w:val="17"/>
              </w:rPr>
              <w:t>Output: θS.</w:t>
            </w:r>
          </w:p>
        </w:tc>
      </w:tr>
    </w:tbl>
    <w:p w14:paraId="0F3055CB" w14:textId="77777777" w:rsidR="00BF43B4" w:rsidRDefault="00BF43B4">
      <w:pPr>
        <w:spacing w:after="120"/>
      </w:pPr>
    </w:p>
    <w:p w14:paraId="4C57F86E" w14:textId="77777777" w:rsidR="00BF43B4" w:rsidRDefault="00D37815">
      <w:pPr>
        <w:pStyle w:val="Balk2"/>
      </w:pPr>
      <w:r>
        <w:rPr>
          <w:rFonts w:ascii="Times New Roman" w:eastAsia="Times New Roman" w:hAnsi="Times New Roman" w:cs="Times New Roman"/>
          <w:color w:val="1A1A1A"/>
          <w:sz w:val="21"/>
          <w:szCs w:val="21"/>
        </w:rPr>
        <w:t>4.3.  Convergence analysis</w:t>
      </w:r>
    </w:p>
    <w:p w14:paraId="65E269D4" w14:textId="77777777" w:rsidR="00BF43B4" w:rsidRDefault="00D37815">
      <w:pPr>
        <w:pStyle w:val="JCoSMLTheorem"/>
      </w:pPr>
      <w:r>
        <w:rPr>
          <w:b/>
          <w:bCs/>
        </w:rPr>
        <w:t>Theorem 1 (Convergence rate).</w:t>
      </w:r>
      <w:r>
        <w:t xml:space="preserve">  Let Assumptions 1–3 hold and let the step size be η = c/√K with c &gt; 0 independent of K. Then the iterates produced by Algorithm 1 satisfy</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8100"/>
        <w:gridCol w:w="1538"/>
      </w:tblGrid>
      <w:tr w:rsidR="00BF43B4" w14:paraId="268BEDDC" w14:textId="77777777">
        <w:tblPrEx>
          <w:tblCellMar>
            <w:top w:w="0" w:type="dxa"/>
            <w:bottom w:w="0" w:type="dxa"/>
          </w:tblCellMar>
        </w:tblPrEx>
        <w:tc>
          <w:tcPr>
            <w:tcW w:w="8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A02CA00" w14:textId="77777777" w:rsidR="00BF43B4" w:rsidRDefault="00D37815">
            <w:pPr>
              <w:spacing w:before="120" w:after="120"/>
              <w:jc w:val="center"/>
            </w:pPr>
            <m:oMathPara>
              <m:oMath>
                <m:f>
                  <m:fPr>
                    <m:ctrlPr>
                      <w:rPr>
                        <w:rFonts w:ascii="Cambria Math" w:hAnsi="Cambria Math"/>
                      </w:rPr>
                    </m:ctrlPr>
                  </m:fPr>
                  <m:num>
                    <m:r>
                      <w:rPr>
                        <w:rFonts w:ascii="Cambria Math" w:hAnsi="Cambria Math"/>
                      </w:rPr>
                      <m:t>1</m:t>
                    </m:r>
                  </m:num>
                  <m:den>
                    <m:r>
                      <w:rPr>
                        <w:rFonts w:ascii="Cambria Math" w:hAnsi="Cambria Math"/>
                      </w:rPr>
                      <m:t>K</m:t>
                    </m:r>
                  </m:den>
                </m:f>
                <m:nary>
                  <m:naryPr>
                    <m:chr m:val="∑"/>
                    <m:limLoc m:val="undOvr"/>
                    <m:ctrlPr>
                      <w:rPr>
                        <w:rFonts w:ascii="Cambria Math" w:hAnsi="Cambria Math"/>
                      </w:rPr>
                    </m:ctrlPr>
                  </m:naryPr>
                  <m:sub>
                    <m:r>
                      <w:rPr>
                        <w:rFonts w:ascii="Cambria Math" w:hAnsi="Cambria Math"/>
                      </w:rPr>
                      <m:t>k</m:t>
                    </m:r>
                    <m:r>
                      <w:rPr>
                        <w:rFonts w:ascii="Cambria Math" w:hAnsi="Cambria Math"/>
                      </w:rPr>
                      <m:t xml:space="preserve"> = 0</m:t>
                    </m:r>
                  </m:sub>
                  <m:sup>
                    <m:r>
                      <w:rPr>
                        <w:rFonts w:ascii="Cambria Math" w:hAnsi="Cambria Math"/>
                      </w:rPr>
                      <m:t>K</m:t>
                    </m:r>
                    <m:r>
                      <w:rPr>
                        <w:rFonts w:ascii="Cambria Math" w:hAnsi="Cambria Math"/>
                      </w:rPr>
                      <m:t xml:space="preserve"> - 1</m:t>
                    </m:r>
                  </m:sup>
                  <m:e>
                    <m:sSup>
                      <m:sSupPr>
                        <m:ctrlPr>
                          <w:rPr>
                            <w:rFonts w:ascii="Cambria Math" w:hAnsi="Cambria Math"/>
                          </w:rPr>
                        </m:ctrlPr>
                      </m:sSupPr>
                      <m:e>
                        <m:r>
                          <w:rPr>
                            <w:rFonts w:ascii="Cambria Math" w:hAnsi="Cambria Math"/>
                          </w:rPr>
                          <m:t>E</m:t>
                        </m:r>
                        <m:r>
                          <w:rPr>
                            <w:rFonts w:ascii="Cambria Math" w:hAnsi="Cambria Math"/>
                          </w:rPr>
                          <m:t>‖</m:t>
                        </m:r>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k</m:t>
                            </m:r>
                          </m:sub>
                        </m:sSub>
                        <m:r>
                          <w:rPr>
                            <w:rFonts w:ascii="Cambria Math" w:hAnsi="Cambria Math"/>
                          </w:rPr>
                          <m:t>)‖</m:t>
                        </m:r>
                      </m:e>
                      <m:sup>
                        <m:r>
                          <w:rPr>
                            <w:rFonts w:ascii="Cambria Math" w:hAnsi="Cambria Math"/>
                          </w:rPr>
                          <m:t>2</m:t>
                        </m:r>
                      </m:sup>
                    </m:sSup>
                  </m:e>
                </m:nary>
                <m:r>
                  <w:rPr>
                    <w:rFonts w:ascii="Cambria Math" w:hAnsi="Cambria Math"/>
                  </w:rPr>
                  <m:t xml:space="preserve"> ≤ </m:t>
                </m:r>
                <m:f>
                  <m:fPr>
                    <m:ctrlPr>
                      <w:rPr>
                        <w:rFonts w:ascii="Cambria Math" w:hAnsi="Cambria Math"/>
                      </w:rPr>
                    </m:ctrlPr>
                  </m:fPr>
                  <m:num>
                    <m:r>
                      <w:rPr>
                        <w:rFonts w:ascii="Cambria Math" w:hAnsi="Cambria Math"/>
                      </w:rPr>
                      <m:t xml:space="preserve">2 </m:t>
                    </m:r>
                    <m:sSub>
                      <m:sSubPr>
                        <m:ctrlPr>
                          <w:rPr>
                            <w:rFonts w:ascii="Cambria Math" w:hAnsi="Cambria Math"/>
                          </w:rPr>
                        </m:ctrlPr>
                      </m:sSubPr>
                      <m:e>
                        <m:r>
                          <w:rPr>
                            <w:rFonts w:ascii="Cambria Math" w:hAnsi="Cambria Math"/>
                          </w:rPr>
                          <m:t>c</m:t>
                        </m:r>
                      </m:e>
                      <m:sub>
                        <m:r>
                          <w:rPr>
                            <w:rFonts w:ascii="Cambria Math" w:hAnsi="Cambria Math"/>
                          </w:rPr>
                          <m:t>max</m:t>
                        </m:r>
                      </m:sub>
                    </m:sSub>
                    <m:r>
                      <w:rPr>
                        <w:rFonts w:ascii="Cambria Math" w:hAnsi="Cambria Math"/>
                      </w:rPr>
                      <m:t xml:space="preserve"> (</m:t>
                    </m:r>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m:t>
                        </m:r>
                      </m:sub>
                    </m:sSub>
                    <m:r>
                      <w:rPr>
                        <w:rFonts w:ascii="Cambria Math" w:hAnsi="Cambria Math"/>
                      </w:rPr>
                      <m:t xml:space="preserve">) </m:t>
                    </m:r>
                    <m:r>
                      <w:rPr>
                        <w:rFonts w:ascii="Cambria Math" w:hAnsi="Cambria Math"/>
                      </w:rPr>
                      <m:t xml:space="preserve">+ </m:t>
                    </m:r>
                    <m:r>
                      <w:rPr>
                        <w:rFonts w:ascii="Cambria Math" w:hAnsi="Cambria Math"/>
                      </w:rPr>
                      <m:t>L</m:t>
                    </m:r>
                    <m:r>
                      <w:rPr>
                        <w:rFonts w:ascii="Cambria Math" w:hAnsi="Cambria Math"/>
                      </w:rPr>
                      <m:t xml:space="preserve"> </m:t>
                    </m:r>
                    <m:sSup>
                      <m:sSupPr>
                        <m:ctrlPr>
                          <w:rPr>
                            <w:rFonts w:ascii="Cambria Math" w:hAnsi="Cambria Math"/>
                          </w:rPr>
                        </m:ctrlPr>
                      </m:sSupPr>
                      <m:e>
                        <m:r>
                          <w:rPr>
                            <w:rFonts w:ascii="Cambria Math" w:hAnsi="Cambria Math"/>
                          </w:rPr>
                          <m:t>c</m:t>
                        </m:r>
                      </m:e>
                      <m:sup>
                        <m:r>
                          <w:rPr>
                            <w:rFonts w:ascii="Cambria Math" w:hAnsi="Cambria Math"/>
                          </w:rPr>
                          <m:t>2</m:t>
                        </m:r>
                      </m:sup>
                    </m:sSup>
                    <m:r>
                      <w:rPr>
                        <w:rFonts w:ascii="Cambria Math" w:hAnsi="Cambria Math"/>
                      </w:rPr>
                      <m:t xml:space="preserve"> </m:t>
                    </m:r>
                    <m:sSup>
                      <m:sSupPr>
                        <m:ctrlPr>
                          <w:rPr>
                            <w:rFonts w:ascii="Cambria Math" w:hAnsi="Cambria Math"/>
                          </w:rPr>
                        </m:ctrlPr>
                      </m:sSupPr>
                      <m:e>
                        <m:r>
                          <w:rPr>
                            <w:rFonts w:ascii="Cambria Math" w:hAnsi="Cambria Math"/>
                          </w:rPr>
                          <m:t>σ</m:t>
                        </m:r>
                      </m:e>
                      <m:sup>
                        <m:r>
                          <w:rPr>
                            <w:rFonts w:ascii="Cambria Math" w:hAnsi="Cambria Math"/>
                          </w:rPr>
                          <m:t>2</m:t>
                        </m:r>
                      </m:sup>
                    </m:sSup>
                  </m:num>
                  <m:den>
                    <m:sSub>
                      <m:sSubPr>
                        <m:ctrlPr>
                          <w:rPr>
                            <w:rFonts w:ascii="Cambria Math" w:hAnsi="Cambria Math"/>
                          </w:rPr>
                        </m:ctrlPr>
                      </m:sSubPr>
                      <m:e>
                        <m:r>
                          <w:rPr>
                            <w:rFonts w:ascii="Cambria Math" w:hAnsi="Cambria Math"/>
                          </w:rPr>
                          <m:t>c</m:t>
                        </m:r>
                      </m:e>
                      <m:sub>
                        <m:r>
                          <w:rPr>
                            <w:rFonts w:ascii="Cambria Math" w:hAnsi="Cambria Math"/>
                          </w:rPr>
                          <m:t>min</m:t>
                        </m:r>
                      </m:sub>
                    </m:sSub>
                    <m:r>
                      <w:rPr>
                        <w:rFonts w:ascii="Cambria Math" w:hAnsi="Cambria Math"/>
                      </w:rPr>
                      <m:t xml:space="preserve"> </m:t>
                    </m:r>
                    <m:rad>
                      <m:radPr>
                        <m:degHide m:val="1"/>
                        <m:ctrlPr>
                          <w:rPr>
                            <w:rFonts w:ascii="Cambria Math" w:hAnsi="Cambria Math"/>
                          </w:rPr>
                        </m:ctrlPr>
                      </m:radPr>
                      <m:deg/>
                      <m:e>
                        <m:r>
                          <w:rPr>
                            <w:rFonts w:ascii="Cambria Math" w:hAnsi="Cambria Math"/>
                          </w:rPr>
                          <m:t>K</m:t>
                        </m:r>
                      </m:e>
                    </m:rad>
                  </m:den>
                </m:f>
                <m:r>
                  <w:rPr>
                    <w:rFonts w:ascii="Cambria Math" w:hAnsi="Cambria Math"/>
                  </w:rPr>
                  <m:t xml:space="preserve"> ,</m:t>
                </m:r>
              </m:oMath>
            </m:oMathPara>
          </w:p>
        </w:tc>
        <w:tc>
          <w:tcPr>
            <w:tcW w:w="15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80C2FA1" w14:textId="77777777" w:rsidR="00BF43B4" w:rsidRDefault="00D37815">
            <w:pPr>
              <w:spacing w:before="120" w:after="120"/>
              <w:jc w:val="right"/>
            </w:pPr>
            <w:r>
              <w:t>(4)</w:t>
            </w:r>
          </w:p>
        </w:tc>
      </w:tr>
    </w:tbl>
    <w:p w14:paraId="6130D781" w14:textId="77777777" w:rsidR="00BF43B4" w:rsidRDefault="00D37815">
      <w:pPr>
        <w:pStyle w:val="JCoSMLTheorem"/>
      </w:pPr>
      <w:r>
        <w:lastRenderedPageBreak/>
        <w:t>where F* = inf F &gt; −∞. In particular, K = O(ε⁻²) iterations suffice to reach an ε-stationary point.</w:t>
      </w:r>
    </w:p>
    <w:p w14:paraId="29C84DC0" w14:textId="77777777" w:rsidR="00BF43B4" w:rsidRDefault="00D37815">
      <w:pPr>
        <w:pStyle w:val="JCoSMLTheorem"/>
      </w:pPr>
      <w:r>
        <w:rPr>
          <w:b/>
          <w:bCs/>
          <w:i/>
          <w:iCs/>
        </w:rPr>
        <w:t>Proof sketch.</w:t>
      </w:r>
      <w:r>
        <w:t xml:space="preserve">  The descent lemma applied to the preconditioned update yields a per-iteration decrease controlled by cmin and cmax. Assumption 2 together with the contraction property of the estimator (3) bounds the residual term by L c² σ² / K. Telescoping over k and d</w:t>
      </w:r>
      <w:r>
        <w:t>ividing by K gives the claim; the full argument is given in Appendix A.  □</w:t>
      </w:r>
    </w:p>
    <w:p w14:paraId="045B8915" w14:textId="77777777" w:rsidR="00BF43B4" w:rsidRDefault="00D37815">
      <w:pPr>
        <w:pStyle w:val="Balk1"/>
      </w:pPr>
      <w:r>
        <w:rPr>
          <w:rFonts w:ascii="Times New Roman" w:eastAsia="Times New Roman" w:hAnsi="Times New Roman" w:cs="Times New Roman"/>
          <w:color w:val="1A1A1A"/>
          <w:sz w:val="21"/>
          <w:szCs w:val="21"/>
        </w:rPr>
        <w:t>5.  Numerical Experiments</w:t>
      </w:r>
    </w:p>
    <w:p w14:paraId="46A6A54C" w14:textId="77777777" w:rsidR="00BF43B4" w:rsidRDefault="00D37815">
      <w:pPr>
        <w:pStyle w:val="Balk2"/>
      </w:pPr>
      <w:r>
        <w:rPr>
          <w:rFonts w:ascii="Times New Roman" w:eastAsia="Times New Roman" w:hAnsi="Times New Roman" w:cs="Times New Roman"/>
          <w:color w:val="1A1A1A"/>
          <w:sz w:val="21"/>
          <w:szCs w:val="21"/>
        </w:rPr>
        <w:t>5.1.  Experimental setting</w:t>
      </w:r>
    </w:p>
    <w:p w14:paraId="02203712" w14:textId="77777777" w:rsidR="00BF43B4" w:rsidRDefault="00D37815">
      <w:pPr>
        <w:pStyle w:val="JCoSMLBody"/>
      </w:pPr>
      <w:r>
        <w:t>All experiments use a fully connected network with six hidden layers of 128 units and tanh activations, initialised with the Glo</w:t>
      </w:r>
      <w:r>
        <w:t>rot scheme. Interior collocation points are resampled every 100 iterations, with Nr = 10 000 for the one-dimensional problems and Nr = 40 000 for the two-dimensional Navier–Stokes case. Baselines are Adam [1], L-BFGS [15], and a direct SVRG adaptation [6].</w:t>
      </w:r>
      <w:r>
        <w:t xml:space="preserve"> Every configuration is repeated over five random seeds; reported values are medians and the wall-clock budget is identical across methods. Experiments were run on a single NVIDIA A100 GPU.</w:t>
      </w:r>
    </w:p>
    <w:p w14:paraId="28ED5494" w14:textId="77777777" w:rsidR="00BF43B4" w:rsidRDefault="00D37815">
      <w:pPr>
        <w:pStyle w:val="Balk2"/>
      </w:pPr>
      <w:r>
        <w:rPr>
          <w:rFonts w:ascii="Times New Roman" w:eastAsia="Times New Roman" w:hAnsi="Times New Roman" w:cs="Times New Roman"/>
          <w:color w:val="1A1A1A"/>
          <w:sz w:val="21"/>
          <w:szCs w:val="21"/>
        </w:rPr>
        <w:t>5.2.  Results</w:t>
      </w:r>
    </w:p>
    <w:p w14:paraId="33D27D99" w14:textId="77777777" w:rsidR="00BF43B4" w:rsidRDefault="00D37815">
      <w:pPr>
        <w:pStyle w:val="JCoSMLTableCaption"/>
      </w:pPr>
      <w:r>
        <w:rPr>
          <w:b/>
          <w:bCs/>
          <w:color w:val="001864"/>
        </w:rPr>
        <w:t xml:space="preserve">Table 1. </w:t>
      </w:r>
      <w:r>
        <w:rPr>
          <w:color w:val="1A1A1A"/>
        </w:rPr>
        <w:t>Relative L2 error against the reference sol</w:t>
      </w:r>
      <w:r>
        <w:rPr>
          <w:color w:val="1A1A1A"/>
        </w:rPr>
        <w:t>ution on three benchmark problems, together with the wall-clock time required to reach the stopping criterion. Lower is better; the best value in each column is set in bold.</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638"/>
        <w:gridCol w:w="1750"/>
        <w:gridCol w:w="1750"/>
        <w:gridCol w:w="1750"/>
        <w:gridCol w:w="1750"/>
      </w:tblGrid>
      <w:tr w:rsidR="00BF43B4" w14:paraId="42D18547" w14:textId="77777777">
        <w:tblPrEx>
          <w:tblCellMar>
            <w:top w:w="0" w:type="dxa"/>
            <w:bottom w:w="0" w:type="dxa"/>
          </w:tblCellMar>
        </w:tblPrEx>
        <w:tc>
          <w:tcPr>
            <w:tcW w:w="2638" w:type="dxa"/>
            <w:tcBorders>
              <w:top w:val="single" w:sz="12" w:space="0" w:color="001864"/>
              <w:left w:val="none" w:sz="0" w:space="0" w:color="FFFFFF"/>
              <w:bottom w:val="single" w:sz="4" w:space="0" w:color="001864"/>
              <w:right w:val="none" w:sz="0" w:space="0" w:color="FFFFFF"/>
            </w:tcBorders>
            <w:tcMar>
              <w:top w:w="60" w:type="dxa"/>
              <w:left w:w="100" w:type="dxa"/>
              <w:bottom w:w="60" w:type="dxa"/>
              <w:right w:w="100" w:type="dxa"/>
            </w:tcMar>
          </w:tcPr>
          <w:p w14:paraId="2D291A2B" w14:textId="77777777" w:rsidR="00BF43B4" w:rsidRDefault="00D37815">
            <w:r>
              <w:rPr>
                <w:rFonts w:ascii="Calibri" w:eastAsia="Calibri" w:hAnsi="Calibri" w:cs="Calibri"/>
                <w:b/>
                <w:bCs/>
                <w:color w:val="001864"/>
                <w:sz w:val="17"/>
                <w:szCs w:val="17"/>
              </w:rPr>
              <w:t>Method</w:t>
            </w:r>
          </w:p>
        </w:tc>
        <w:tc>
          <w:tcPr>
            <w:tcW w:w="1750" w:type="dxa"/>
            <w:tcBorders>
              <w:top w:val="single" w:sz="12" w:space="0" w:color="001864"/>
              <w:left w:val="none" w:sz="0" w:space="0" w:color="FFFFFF"/>
              <w:bottom w:val="single" w:sz="4" w:space="0" w:color="001864"/>
              <w:right w:val="none" w:sz="0" w:space="0" w:color="FFFFFF"/>
            </w:tcBorders>
            <w:tcMar>
              <w:top w:w="60" w:type="dxa"/>
              <w:left w:w="100" w:type="dxa"/>
              <w:bottom w:w="60" w:type="dxa"/>
              <w:right w:w="100" w:type="dxa"/>
            </w:tcMar>
          </w:tcPr>
          <w:p w14:paraId="1CDDB752" w14:textId="77777777" w:rsidR="00BF43B4" w:rsidRDefault="00D37815">
            <w:pPr>
              <w:jc w:val="center"/>
            </w:pPr>
            <w:r>
              <w:rPr>
                <w:rFonts w:ascii="Calibri" w:eastAsia="Calibri" w:hAnsi="Calibri" w:cs="Calibri"/>
                <w:b/>
                <w:bCs/>
                <w:color w:val="001864"/>
                <w:sz w:val="17"/>
                <w:szCs w:val="17"/>
              </w:rPr>
              <w:t>Burgers</w:t>
            </w:r>
          </w:p>
        </w:tc>
        <w:tc>
          <w:tcPr>
            <w:tcW w:w="1750" w:type="dxa"/>
            <w:tcBorders>
              <w:top w:val="single" w:sz="12" w:space="0" w:color="001864"/>
              <w:left w:val="none" w:sz="0" w:space="0" w:color="FFFFFF"/>
              <w:bottom w:val="single" w:sz="4" w:space="0" w:color="001864"/>
              <w:right w:val="none" w:sz="0" w:space="0" w:color="FFFFFF"/>
            </w:tcBorders>
            <w:tcMar>
              <w:top w:w="60" w:type="dxa"/>
              <w:left w:w="100" w:type="dxa"/>
              <w:bottom w:w="60" w:type="dxa"/>
              <w:right w:w="100" w:type="dxa"/>
            </w:tcMar>
          </w:tcPr>
          <w:p w14:paraId="00CE7426" w14:textId="77777777" w:rsidR="00BF43B4" w:rsidRDefault="00D37815">
            <w:pPr>
              <w:jc w:val="center"/>
            </w:pPr>
            <w:r>
              <w:rPr>
                <w:rFonts w:ascii="Calibri" w:eastAsia="Calibri" w:hAnsi="Calibri" w:cs="Calibri"/>
                <w:b/>
                <w:bCs/>
                <w:color w:val="001864"/>
                <w:sz w:val="17"/>
                <w:szCs w:val="17"/>
              </w:rPr>
              <w:t>Allen–Cahn</w:t>
            </w:r>
          </w:p>
        </w:tc>
        <w:tc>
          <w:tcPr>
            <w:tcW w:w="1750" w:type="dxa"/>
            <w:tcBorders>
              <w:top w:val="single" w:sz="12" w:space="0" w:color="001864"/>
              <w:left w:val="none" w:sz="0" w:space="0" w:color="FFFFFF"/>
              <w:bottom w:val="single" w:sz="4" w:space="0" w:color="001864"/>
              <w:right w:val="none" w:sz="0" w:space="0" w:color="FFFFFF"/>
            </w:tcBorders>
            <w:tcMar>
              <w:top w:w="60" w:type="dxa"/>
              <w:left w:w="100" w:type="dxa"/>
              <w:bottom w:w="60" w:type="dxa"/>
              <w:right w:w="100" w:type="dxa"/>
            </w:tcMar>
          </w:tcPr>
          <w:p w14:paraId="0B4A817E" w14:textId="77777777" w:rsidR="00BF43B4" w:rsidRDefault="00D37815">
            <w:pPr>
              <w:jc w:val="center"/>
            </w:pPr>
            <w:r>
              <w:rPr>
                <w:rFonts w:ascii="Calibri" w:eastAsia="Calibri" w:hAnsi="Calibri" w:cs="Calibri"/>
                <w:b/>
                <w:bCs/>
                <w:color w:val="001864"/>
                <w:sz w:val="17"/>
                <w:szCs w:val="17"/>
              </w:rPr>
              <w:t>Helmholtz</w:t>
            </w:r>
          </w:p>
        </w:tc>
        <w:tc>
          <w:tcPr>
            <w:tcW w:w="1750" w:type="dxa"/>
            <w:tcBorders>
              <w:top w:val="single" w:sz="12" w:space="0" w:color="001864"/>
              <w:left w:val="none" w:sz="0" w:space="0" w:color="FFFFFF"/>
              <w:bottom w:val="single" w:sz="4" w:space="0" w:color="001864"/>
              <w:right w:val="none" w:sz="0" w:space="0" w:color="FFFFFF"/>
            </w:tcBorders>
            <w:tcMar>
              <w:top w:w="60" w:type="dxa"/>
              <w:left w:w="100" w:type="dxa"/>
              <w:bottom w:w="60" w:type="dxa"/>
              <w:right w:w="100" w:type="dxa"/>
            </w:tcMar>
          </w:tcPr>
          <w:p w14:paraId="44566E47" w14:textId="77777777" w:rsidR="00BF43B4" w:rsidRDefault="00D37815">
            <w:pPr>
              <w:jc w:val="center"/>
            </w:pPr>
            <w:r>
              <w:rPr>
                <w:rFonts w:ascii="Calibri" w:eastAsia="Calibri" w:hAnsi="Calibri" w:cs="Calibri"/>
                <w:b/>
                <w:bCs/>
                <w:color w:val="001864"/>
                <w:sz w:val="17"/>
                <w:szCs w:val="17"/>
              </w:rPr>
              <w:t>Time (s)</w:t>
            </w:r>
          </w:p>
        </w:tc>
      </w:tr>
      <w:tr w:rsidR="00BF43B4" w14:paraId="6C7B2918" w14:textId="77777777">
        <w:tblPrEx>
          <w:tblCellMar>
            <w:top w:w="0" w:type="dxa"/>
            <w:bottom w:w="0" w:type="dxa"/>
          </w:tblCellMar>
        </w:tblPrEx>
        <w:tc>
          <w:tcPr>
            <w:tcW w:w="26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AF2D11A" w14:textId="77777777" w:rsidR="00BF43B4" w:rsidRDefault="00D37815">
            <w:r>
              <w:rPr>
                <w:rFonts w:ascii="Calibri" w:eastAsia="Calibri" w:hAnsi="Calibri" w:cs="Calibri"/>
                <w:sz w:val="17"/>
                <w:szCs w:val="17"/>
              </w:rPr>
              <w:t>Adam [1]</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04CCA41" w14:textId="77777777" w:rsidR="00BF43B4" w:rsidRDefault="00D37815">
            <w:pPr>
              <w:jc w:val="center"/>
            </w:pPr>
            <w:r>
              <w:rPr>
                <w:rFonts w:ascii="Calibri" w:eastAsia="Calibri" w:hAnsi="Calibri" w:cs="Calibri"/>
                <w:sz w:val="17"/>
                <w:szCs w:val="17"/>
              </w:rPr>
              <w:t>3.1 × 10⁻³</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CF80A8A" w14:textId="77777777" w:rsidR="00BF43B4" w:rsidRDefault="00D37815">
            <w:pPr>
              <w:jc w:val="center"/>
            </w:pPr>
            <w:r>
              <w:rPr>
                <w:rFonts w:ascii="Calibri" w:eastAsia="Calibri" w:hAnsi="Calibri" w:cs="Calibri"/>
                <w:sz w:val="17"/>
                <w:szCs w:val="17"/>
              </w:rPr>
              <w:t>2.4 × 10⁻²</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2B90B54" w14:textId="77777777" w:rsidR="00BF43B4" w:rsidRDefault="00D37815">
            <w:pPr>
              <w:jc w:val="center"/>
            </w:pPr>
            <w:r>
              <w:rPr>
                <w:rFonts w:ascii="Calibri" w:eastAsia="Calibri" w:hAnsi="Calibri" w:cs="Calibri"/>
                <w:sz w:val="17"/>
                <w:szCs w:val="17"/>
              </w:rPr>
              <w:t>7.9 × 10⁻³</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FF45C06" w14:textId="77777777" w:rsidR="00BF43B4" w:rsidRDefault="00D37815">
            <w:pPr>
              <w:jc w:val="center"/>
            </w:pPr>
            <w:r>
              <w:rPr>
                <w:rFonts w:ascii="Calibri" w:eastAsia="Calibri" w:hAnsi="Calibri" w:cs="Calibri"/>
                <w:sz w:val="17"/>
                <w:szCs w:val="17"/>
              </w:rPr>
              <w:t>412</w:t>
            </w:r>
          </w:p>
        </w:tc>
      </w:tr>
      <w:tr w:rsidR="00BF43B4" w14:paraId="78AEF613" w14:textId="77777777">
        <w:tblPrEx>
          <w:tblCellMar>
            <w:top w:w="0" w:type="dxa"/>
            <w:bottom w:w="0" w:type="dxa"/>
          </w:tblCellMar>
        </w:tblPrEx>
        <w:tc>
          <w:tcPr>
            <w:tcW w:w="26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BE47288" w14:textId="77777777" w:rsidR="00BF43B4" w:rsidRDefault="00D37815">
            <w:r>
              <w:rPr>
                <w:rFonts w:ascii="Calibri" w:eastAsia="Calibri" w:hAnsi="Calibri" w:cs="Calibri"/>
                <w:sz w:val="17"/>
                <w:szCs w:val="17"/>
              </w:rPr>
              <w:t>L-BFGS [15]</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60AAC24" w14:textId="77777777" w:rsidR="00BF43B4" w:rsidRDefault="00D37815">
            <w:pPr>
              <w:jc w:val="center"/>
            </w:pPr>
            <w:r>
              <w:rPr>
                <w:rFonts w:ascii="Calibri" w:eastAsia="Calibri" w:hAnsi="Calibri" w:cs="Calibri"/>
                <w:sz w:val="17"/>
                <w:szCs w:val="17"/>
              </w:rPr>
              <w:t>2.6 × 10⁻³</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27AA7A9" w14:textId="77777777" w:rsidR="00BF43B4" w:rsidRDefault="00D37815">
            <w:pPr>
              <w:jc w:val="center"/>
            </w:pPr>
            <w:r>
              <w:rPr>
                <w:rFonts w:ascii="Calibri" w:eastAsia="Calibri" w:hAnsi="Calibri" w:cs="Calibri"/>
                <w:sz w:val="17"/>
                <w:szCs w:val="17"/>
              </w:rPr>
              <w:t>1.8 × 10⁻²</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67EDC48" w14:textId="77777777" w:rsidR="00BF43B4" w:rsidRDefault="00D37815">
            <w:pPr>
              <w:jc w:val="center"/>
            </w:pPr>
            <w:r>
              <w:rPr>
                <w:rFonts w:ascii="Calibri" w:eastAsia="Calibri" w:hAnsi="Calibri" w:cs="Calibri"/>
                <w:sz w:val="17"/>
                <w:szCs w:val="17"/>
              </w:rPr>
              <w:t>6.4 × 10⁻³</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BD5807C" w14:textId="77777777" w:rsidR="00BF43B4" w:rsidRDefault="00D37815">
            <w:pPr>
              <w:jc w:val="center"/>
            </w:pPr>
            <w:r>
              <w:rPr>
                <w:rFonts w:ascii="Calibri" w:eastAsia="Calibri" w:hAnsi="Calibri" w:cs="Calibri"/>
                <w:sz w:val="17"/>
                <w:szCs w:val="17"/>
              </w:rPr>
              <w:t>907</w:t>
            </w:r>
          </w:p>
        </w:tc>
      </w:tr>
      <w:tr w:rsidR="00BF43B4" w14:paraId="110B45B9" w14:textId="77777777">
        <w:tblPrEx>
          <w:tblCellMar>
            <w:top w:w="0" w:type="dxa"/>
            <w:bottom w:w="0" w:type="dxa"/>
          </w:tblCellMar>
        </w:tblPrEx>
        <w:tc>
          <w:tcPr>
            <w:tcW w:w="26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B233FCB" w14:textId="77777777" w:rsidR="00BF43B4" w:rsidRDefault="00D37815">
            <w:r>
              <w:rPr>
                <w:rFonts w:ascii="Calibri" w:eastAsia="Calibri" w:hAnsi="Calibri" w:cs="Calibri"/>
                <w:sz w:val="17"/>
                <w:szCs w:val="17"/>
              </w:rPr>
              <w:t>SVRG-PINN [6]</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253498E" w14:textId="77777777" w:rsidR="00BF43B4" w:rsidRDefault="00D37815">
            <w:pPr>
              <w:jc w:val="center"/>
            </w:pPr>
            <w:r>
              <w:rPr>
                <w:rFonts w:ascii="Calibri" w:eastAsia="Calibri" w:hAnsi="Calibri" w:cs="Calibri"/>
                <w:sz w:val="17"/>
                <w:szCs w:val="17"/>
              </w:rPr>
              <w:t>1.7 × 10⁻³</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0399B57" w14:textId="77777777" w:rsidR="00BF43B4" w:rsidRDefault="00D37815">
            <w:pPr>
              <w:jc w:val="center"/>
            </w:pPr>
            <w:r>
              <w:rPr>
                <w:rFonts w:ascii="Calibri" w:eastAsia="Calibri" w:hAnsi="Calibri" w:cs="Calibri"/>
                <w:sz w:val="17"/>
                <w:szCs w:val="17"/>
              </w:rPr>
              <w:t>9.8 × 10⁻³</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D09086A" w14:textId="77777777" w:rsidR="00BF43B4" w:rsidRDefault="00D37815">
            <w:pPr>
              <w:jc w:val="center"/>
            </w:pPr>
            <w:r>
              <w:rPr>
                <w:rFonts w:ascii="Calibri" w:eastAsia="Calibri" w:hAnsi="Calibri" w:cs="Calibri"/>
                <w:sz w:val="17"/>
                <w:szCs w:val="17"/>
              </w:rPr>
              <w:t>4.1 × 10⁻³</w:t>
            </w:r>
          </w:p>
        </w:tc>
        <w:tc>
          <w:tcPr>
            <w:tcW w:w="17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E9479A4" w14:textId="77777777" w:rsidR="00BF43B4" w:rsidRDefault="00D37815">
            <w:pPr>
              <w:jc w:val="center"/>
            </w:pPr>
            <w:r>
              <w:rPr>
                <w:rFonts w:ascii="Calibri" w:eastAsia="Calibri" w:hAnsi="Calibri" w:cs="Calibri"/>
                <w:sz w:val="17"/>
                <w:szCs w:val="17"/>
              </w:rPr>
              <w:t>455</w:t>
            </w:r>
          </w:p>
        </w:tc>
      </w:tr>
      <w:tr w:rsidR="00BF43B4" w14:paraId="5E0AB9F1" w14:textId="77777777">
        <w:tblPrEx>
          <w:tblCellMar>
            <w:top w:w="0" w:type="dxa"/>
            <w:bottom w:w="0" w:type="dxa"/>
          </w:tblCellMar>
        </w:tblPrEx>
        <w:tc>
          <w:tcPr>
            <w:tcW w:w="2638" w:type="dxa"/>
            <w:tcBorders>
              <w:top w:val="none" w:sz="0" w:space="0" w:color="FFFFFF"/>
              <w:left w:val="none" w:sz="0" w:space="0" w:color="FFFFFF"/>
              <w:bottom w:val="single" w:sz="12" w:space="0" w:color="001864"/>
              <w:right w:val="none" w:sz="0" w:space="0" w:color="FFFFFF"/>
            </w:tcBorders>
            <w:tcMar>
              <w:top w:w="60" w:type="dxa"/>
              <w:left w:w="100" w:type="dxa"/>
              <w:bottom w:w="60" w:type="dxa"/>
              <w:right w:w="100" w:type="dxa"/>
            </w:tcMar>
          </w:tcPr>
          <w:p w14:paraId="787E8612" w14:textId="77777777" w:rsidR="00BF43B4" w:rsidRDefault="00D37815">
            <w:r>
              <w:rPr>
                <w:rFonts w:ascii="Calibri" w:eastAsia="Calibri" w:hAnsi="Calibri" w:cs="Calibri"/>
                <w:b/>
                <w:bCs/>
                <w:sz w:val="17"/>
                <w:szCs w:val="17"/>
              </w:rPr>
              <w:t>VR-Adapt (ours)</w:t>
            </w:r>
          </w:p>
        </w:tc>
        <w:tc>
          <w:tcPr>
            <w:tcW w:w="1750" w:type="dxa"/>
            <w:tcBorders>
              <w:top w:val="none" w:sz="0" w:space="0" w:color="FFFFFF"/>
              <w:left w:val="none" w:sz="0" w:space="0" w:color="FFFFFF"/>
              <w:bottom w:val="single" w:sz="12" w:space="0" w:color="001864"/>
              <w:right w:val="none" w:sz="0" w:space="0" w:color="FFFFFF"/>
            </w:tcBorders>
            <w:tcMar>
              <w:top w:w="60" w:type="dxa"/>
              <w:left w:w="100" w:type="dxa"/>
              <w:bottom w:w="60" w:type="dxa"/>
              <w:right w:w="100" w:type="dxa"/>
            </w:tcMar>
          </w:tcPr>
          <w:p w14:paraId="28EA65C3" w14:textId="77777777" w:rsidR="00BF43B4" w:rsidRDefault="00D37815">
            <w:pPr>
              <w:jc w:val="center"/>
            </w:pPr>
            <w:r>
              <w:rPr>
                <w:rFonts w:ascii="Calibri" w:eastAsia="Calibri" w:hAnsi="Calibri" w:cs="Calibri"/>
                <w:b/>
                <w:bCs/>
                <w:sz w:val="17"/>
                <w:szCs w:val="17"/>
              </w:rPr>
              <w:t>6.2 × 10⁻⁴</w:t>
            </w:r>
          </w:p>
        </w:tc>
        <w:tc>
          <w:tcPr>
            <w:tcW w:w="1750" w:type="dxa"/>
            <w:tcBorders>
              <w:top w:val="none" w:sz="0" w:space="0" w:color="FFFFFF"/>
              <w:left w:val="none" w:sz="0" w:space="0" w:color="FFFFFF"/>
              <w:bottom w:val="single" w:sz="12" w:space="0" w:color="001864"/>
              <w:right w:val="none" w:sz="0" w:space="0" w:color="FFFFFF"/>
            </w:tcBorders>
            <w:tcMar>
              <w:top w:w="60" w:type="dxa"/>
              <w:left w:w="100" w:type="dxa"/>
              <w:bottom w:w="60" w:type="dxa"/>
              <w:right w:w="100" w:type="dxa"/>
            </w:tcMar>
          </w:tcPr>
          <w:p w14:paraId="434EC22E" w14:textId="77777777" w:rsidR="00BF43B4" w:rsidRDefault="00D37815">
            <w:pPr>
              <w:jc w:val="center"/>
            </w:pPr>
            <w:r>
              <w:rPr>
                <w:rFonts w:ascii="Calibri" w:eastAsia="Calibri" w:hAnsi="Calibri" w:cs="Calibri"/>
                <w:b/>
                <w:bCs/>
                <w:sz w:val="17"/>
                <w:szCs w:val="17"/>
              </w:rPr>
              <w:t>3.3 × 10⁻³</w:t>
            </w:r>
          </w:p>
        </w:tc>
        <w:tc>
          <w:tcPr>
            <w:tcW w:w="1750" w:type="dxa"/>
            <w:tcBorders>
              <w:top w:val="none" w:sz="0" w:space="0" w:color="FFFFFF"/>
              <w:left w:val="none" w:sz="0" w:space="0" w:color="FFFFFF"/>
              <w:bottom w:val="single" w:sz="12" w:space="0" w:color="001864"/>
              <w:right w:val="none" w:sz="0" w:space="0" w:color="FFFFFF"/>
            </w:tcBorders>
            <w:tcMar>
              <w:top w:w="60" w:type="dxa"/>
              <w:left w:w="100" w:type="dxa"/>
              <w:bottom w:w="60" w:type="dxa"/>
              <w:right w:w="100" w:type="dxa"/>
            </w:tcMar>
          </w:tcPr>
          <w:p w14:paraId="3F7C3E78" w14:textId="77777777" w:rsidR="00BF43B4" w:rsidRDefault="00D37815">
            <w:pPr>
              <w:jc w:val="center"/>
            </w:pPr>
            <w:r>
              <w:rPr>
                <w:rFonts w:ascii="Calibri" w:eastAsia="Calibri" w:hAnsi="Calibri" w:cs="Calibri"/>
                <w:b/>
                <w:bCs/>
                <w:sz w:val="17"/>
                <w:szCs w:val="17"/>
              </w:rPr>
              <w:t>1.5 × 10⁻³</w:t>
            </w:r>
          </w:p>
        </w:tc>
        <w:tc>
          <w:tcPr>
            <w:tcW w:w="1750" w:type="dxa"/>
            <w:tcBorders>
              <w:top w:val="none" w:sz="0" w:space="0" w:color="FFFFFF"/>
              <w:left w:val="none" w:sz="0" w:space="0" w:color="FFFFFF"/>
              <w:bottom w:val="single" w:sz="12" w:space="0" w:color="001864"/>
              <w:right w:val="none" w:sz="0" w:space="0" w:color="FFFFFF"/>
            </w:tcBorders>
            <w:tcMar>
              <w:top w:w="60" w:type="dxa"/>
              <w:left w:w="100" w:type="dxa"/>
              <w:bottom w:w="60" w:type="dxa"/>
              <w:right w:w="100" w:type="dxa"/>
            </w:tcMar>
          </w:tcPr>
          <w:p w14:paraId="1C7560AE" w14:textId="77777777" w:rsidR="00BF43B4" w:rsidRDefault="00D37815">
            <w:pPr>
              <w:jc w:val="center"/>
            </w:pPr>
            <w:r>
              <w:rPr>
                <w:rFonts w:ascii="Calibri" w:eastAsia="Calibri" w:hAnsi="Calibri" w:cs="Calibri"/>
                <w:b/>
                <w:bCs/>
                <w:sz w:val="17"/>
                <w:szCs w:val="17"/>
              </w:rPr>
              <w:t>438</w:t>
            </w:r>
          </w:p>
        </w:tc>
      </w:tr>
    </w:tbl>
    <w:p w14:paraId="5C8C3E5F" w14:textId="77777777" w:rsidR="00BF43B4" w:rsidRDefault="00BF43B4">
      <w:pPr>
        <w:spacing w:after="160"/>
      </w:pPr>
    </w:p>
    <w:p w14:paraId="0B41AAF7" w14:textId="77777777" w:rsidR="00BF43B4" w:rsidRDefault="00D37815">
      <w:pPr>
        <w:pStyle w:val="JCoSMLBody"/>
      </w:pPr>
      <w:r>
        <w:t>The corrected estimator improves accuracy on every benchmark, and the margin widens with the stiffness of the problem: the gain is a factor of five on Burgers but exceeds seven on Allen–Cahn, whose sharp interfaces produce the largest gradient variance. Th</w:t>
      </w:r>
      <w:r>
        <w:t>e overhead of the snapshot evaluation is modest, amounting to roughly six per cent of total runtime.</w:t>
      </w:r>
    </w:p>
    <w:p w14:paraId="71488125" w14:textId="77777777" w:rsidR="00BF43B4" w:rsidRDefault="00D37815">
      <w:pPr>
        <w:spacing w:before="200"/>
        <w:jc w:val="center"/>
      </w:pPr>
      <w:r>
        <w:rPr>
          <w:noProof/>
        </w:rPr>
        <w:drawing>
          <wp:inline distT="0" distB="0" distL="0" distR="0" wp14:anchorId="3594FB67" wp14:editId="2F7D78C8">
            <wp:extent cx="5829300" cy="22098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829300" cy="2209800"/>
                    </a:xfrm>
                    <a:prstGeom prst="rect">
                      <a:avLst/>
                    </a:prstGeom>
                  </pic:spPr>
                </pic:pic>
              </a:graphicData>
            </a:graphic>
          </wp:inline>
        </w:drawing>
      </w:r>
    </w:p>
    <w:p w14:paraId="058F6A39" w14:textId="77777777" w:rsidR="00BF43B4" w:rsidRDefault="00D37815">
      <w:pPr>
        <w:pStyle w:val="JCoSMLCaption"/>
      </w:pPr>
      <w:r>
        <w:rPr>
          <w:b/>
          <w:bCs/>
          <w:color w:val="001864"/>
        </w:rPr>
        <w:t xml:space="preserve">Figure 1. </w:t>
      </w:r>
      <w:r>
        <w:rPr>
          <w:color w:val="1A1A1A"/>
        </w:rPr>
        <w:t>(a) Training loss against iteration count for the Allen–Cahn problem, median over five seeds. (b) Relative L2 error on all four benchmarks at a</w:t>
      </w:r>
      <w:r>
        <w:rPr>
          <w:color w:val="1A1A1A"/>
        </w:rPr>
        <w:t>n equal wall-clock budget.</w:t>
      </w:r>
    </w:p>
    <w:p w14:paraId="69EAB0E5" w14:textId="77777777" w:rsidR="00BF43B4" w:rsidRDefault="00D37815">
      <w:pPr>
        <w:pStyle w:val="Balk2"/>
      </w:pPr>
      <w:r>
        <w:rPr>
          <w:rFonts w:ascii="Times New Roman" w:eastAsia="Times New Roman" w:hAnsi="Times New Roman" w:cs="Times New Roman"/>
          <w:color w:val="1A1A1A"/>
          <w:sz w:val="21"/>
          <w:szCs w:val="21"/>
        </w:rPr>
        <w:lastRenderedPageBreak/>
        <w:t>5.3.  Ablation study</w:t>
      </w:r>
    </w:p>
    <w:p w14:paraId="6B913720" w14:textId="77777777" w:rsidR="00BF43B4" w:rsidRDefault="00D37815">
      <w:pPr>
        <w:pStyle w:val="JCoSMLBody"/>
      </w:pPr>
      <w:r>
        <w:t xml:space="preserve">Removing the variance-reduction correction while retaining the adaptive weighting recovers approximately sixty per cent of the improvement, whereas removing the weighting alone recovers only thirty per cent. </w:t>
      </w:r>
      <w:r>
        <w:t>Neither component is sufficient on its own, which supports the claim that the two mechanisms interact rather than simply accumulate.</w:t>
      </w:r>
    </w:p>
    <w:p w14:paraId="3CFCC315" w14:textId="77777777" w:rsidR="00BF43B4" w:rsidRDefault="00D37815">
      <w:pPr>
        <w:pStyle w:val="Balk1"/>
      </w:pPr>
      <w:r>
        <w:rPr>
          <w:rFonts w:ascii="Times New Roman" w:eastAsia="Times New Roman" w:hAnsi="Times New Roman" w:cs="Times New Roman"/>
          <w:color w:val="1A1A1A"/>
          <w:sz w:val="21"/>
          <w:szCs w:val="21"/>
        </w:rPr>
        <w:t>6.  Discussion and Conclusion</w:t>
      </w:r>
    </w:p>
    <w:p w14:paraId="47D4CB3B" w14:textId="77777777" w:rsidR="00BF43B4" w:rsidRDefault="00D37815">
      <w:pPr>
        <w:pStyle w:val="JCoSMLBody"/>
      </w:pPr>
      <w:r>
        <w:t>VR-Adapt targets a specific failure mode: stagnation caused by sampling noise entering the ad</w:t>
      </w:r>
      <w:r>
        <w:t>aptive preconditioner. Where that noise is negligible — for instance on smooth, low-frequency problems with abundant collocation points — the method reduces to a variant of Adam and offers no advantage. The snapshot evaluation also imposes a memory cost pr</w:t>
      </w:r>
      <w:r>
        <w:t>oportional to the parameter dimension, which may be prohibitive for very large surrogates.</w:t>
      </w:r>
    </w:p>
    <w:p w14:paraId="49855EAA" w14:textId="77777777" w:rsidR="00BF43B4" w:rsidRDefault="00D37815">
      <w:pPr>
        <w:pStyle w:val="JCoSMLBodyIndented"/>
      </w:pPr>
      <w:r>
        <w:t>Three directions appear promising. First, the analysis assumes a fixed collocation distribution; extending it to adaptive sampling would align the theory with common</w:t>
      </w:r>
      <w:r>
        <w:t xml:space="preserve"> practice. Second, the logarithmic dependence on the condition number suggests that operator preconditioning could be folded directly into the update. Third, the estimator is agnostic to the architecture and could be evaluated on neural operators, where th</w:t>
      </w:r>
      <w:r>
        <w:t>e loss decomposition differs but the variance problem persists.</w:t>
      </w:r>
    </w:p>
    <w:p w14:paraId="1C8D7D7F" w14:textId="77777777" w:rsidR="00BF43B4" w:rsidRDefault="00BF43B4">
      <w:pPr>
        <w:pBdr>
          <w:bottom w:val="single" w:sz="6" w:space="0" w:color="C9D8EC"/>
        </w:pBdr>
        <w:spacing w:before="320" w:after="200"/>
      </w:pPr>
    </w:p>
    <w:p w14:paraId="7B142D87" w14:textId="77777777" w:rsidR="00BF43B4" w:rsidRDefault="00D37815">
      <w:pPr>
        <w:spacing w:after="100" w:line="250" w:lineRule="auto"/>
        <w:jc w:val="both"/>
      </w:pPr>
      <w:r>
        <w:rPr>
          <w:b/>
          <w:bCs/>
          <w:color w:val="001864"/>
          <w:sz w:val="19"/>
          <w:szCs w:val="19"/>
        </w:rPr>
        <w:t xml:space="preserve">CRediT authorship contribution statement. </w:t>
      </w:r>
      <w:r>
        <w:rPr>
          <w:sz w:val="19"/>
          <w:szCs w:val="19"/>
        </w:rPr>
        <w:t>Ayşe Yılmaz: Conceptualization, Methodology, Software, Writing – original draft. Mehmet Demir: Formal analysis, Validation, Writing – review &amp; editing. John A. Smith: Supervision, Funding acquisition, Writing – review &amp; editing.</w:t>
      </w:r>
    </w:p>
    <w:p w14:paraId="50237D51" w14:textId="77777777" w:rsidR="00BF43B4" w:rsidRDefault="00D37815">
      <w:pPr>
        <w:spacing w:after="100" w:line="250" w:lineRule="auto"/>
        <w:jc w:val="both"/>
      </w:pPr>
      <w:r>
        <w:rPr>
          <w:b/>
          <w:bCs/>
          <w:color w:val="001864"/>
          <w:sz w:val="19"/>
          <w:szCs w:val="19"/>
        </w:rPr>
        <w:t xml:space="preserve">Funding. </w:t>
      </w:r>
      <w:r>
        <w:rPr>
          <w:sz w:val="19"/>
          <w:szCs w:val="19"/>
        </w:rPr>
        <w:t>This work was supp</w:t>
      </w:r>
      <w:r>
        <w:rPr>
          <w:sz w:val="19"/>
          <w:szCs w:val="19"/>
        </w:rPr>
        <w:t>orted by the Scientific and Technological Research Council of Türkiye (TÜBİTAK) under grant no. 000X000.</w:t>
      </w:r>
    </w:p>
    <w:p w14:paraId="7C8B6E34" w14:textId="77777777" w:rsidR="00BF43B4" w:rsidRDefault="00D37815">
      <w:pPr>
        <w:spacing w:after="100" w:line="250" w:lineRule="auto"/>
        <w:jc w:val="both"/>
      </w:pPr>
      <w:r>
        <w:rPr>
          <w:b/>
          <w:bCs/>
          <w:color w:val="001864"/>
          <w:sz w:val="19"/>
          <w:szCs w:val="19"/>
        </w:rPr>
        <w:t xml:space="preserve">Declaration of competing interest. </w:t>
      </w:r>
      <w:r>
        <w:rPr>
          <w:sz w:val="19"/>
          <w:szCs w:val="19"/>
        </w:rPr>
        <w:t xml:space="preserve">The authors declare that they have no known competing financial interests or personal relationships that could have </w:t>
      </w:r>
      <w:r>
        <w:rPr>
          <w:sz w:val="19"/>
          <w:szCs w:val="19"/>
        </w:rPr>
        <w:t>appeared to influence the work reported in this paper.</w:t>
      </w:r>
    </w:p>
    <w:p w14:paraId="0C0FC2AB" w14:textId="77777777" w:rsidR="00BF43B4" w:rsidRDefault="00D37815">
      <w:pPr>
        <w:spacing w:after="100" w:line="250" w:lineRule="auto"/>
        <w:jc w:val="both"/>
      </w:pPr>
      <w:r>
        <w:rPr>
          <w:b/>
          <w:bCs/>
          <w:color w:val="001864"/>
          <w:sz w:val="19"/>
          <w:szCs w:val="19"/>
        </w:rPr>
        <w:t xml:space="preserve">Data availability. </w:t>
      </w:r>
      <w:r>
        <w:rPr>
          <w:sz w:val="19"/>
          <w:szCs w:val="19"/>
        </w:rPr>
        <w:t>The reference implementation and the scripts required to reproduce every table and figure are available at https://github.com/example/vr-adapt under the MIT licence.</w:t>
      </w:r>
    </w:p>
    <w:p w14:paraId="53ABE4AD" w14:textId="77777777" w:rsidR="00BF43B4" w:rsidRDefault="00D37815">
      <w:pPr>
        <w:spacing w:after="100" w:line="250" w:lineRule="auto"/>
        <w:jc w:val="both"/>
      </w:pPr>
      <w:r>
        <w:rPr>
          <w:b/>
          <w:bCs/>
          <w:color w:val="001864"/>
          <w:sz w:val="19"/>
          <w:szCs w:val="19"/>
        </w:rPr>
        <w:t>Acknowledgements</w:t>
      </w:r>
      <w:r>
        <w:rPr>
          <w:b/>
          <w:bCs/>
          <w:color w:val="001864"/>
          <w:sz w:val="19"/>
          <w:szCs w:val="19"/>
        </w:rPr>
        <w:t xml:space="preserve">. </w:t>
      </w:r>
      <w:r>
        <w:rPr>
          <w:sz w:val="19"/>
          <w:szCs w:val="19"/>
        </w:rPr>
        <w:t>The authors thank the anonymous reviewers for their constructive comments, and the National Center for High Performance Computing for providing computational resources.</w:t>
      </w:r>
    </w:p>
    <w:p w14:paraId="0470906D" w14:textId="77777777" w:rsidR="00BF43B4" w:rsidRDefault="00D37815">
      <w:pPr>
        <w:spacing w:after="100" w:line="250" w:lineRule="auto"/>
        <w:jc w:val="both"/>
      </w:pPr>
      <w:r>
        <w:rPr>
          <w:b/>
          <w:bCs/>
          <w:color w:val="001864"/>
          <w:sz w:val="19"/>
          <w:szCs w:val="19"/>
        </w:rPr>
        <w:t xml:space="preserve">How to cite this article. </w:t>
      </w:r>
      <w:r>
        <w:rPr>
          <w:sz w:val="19"/>
          <w:szCs w:val="19"/>
        </w:rPr>
        <w:t>A. Yılmaz, M. Demir, and J. A. Smith, “A variance-reduced a</w:t>
      </w:r>
      <w:r>
        <w:rPr>
          <w:sz w:val="19"/>
          <w:szCs w:val="19"/>
        </w:rPr>
        <w:t>daptive optimizer for physics-informed neural networks with provable convergence,” J. Comput. Optim. Sci. Mach. Learn., vol. 1, no. 1, pp. 1–18, 2026, doi: 10.00000/jcosml.2026.1.1.</w:t>
      </w:r>
    </w:p>
    <w:p w14:paraId="6D615553" w14:textId="77777777" w:rsidR="00BF43B4" w:rsidRDefault="00D37815">
      <w:pPr>
        <w:pStyle w:val="Balk1"/>
      </w:pPr>
      <w:r>
        <w:rPr>
          <w:rFonts w:ascii="Times New Roman" w:eastAsia="Times New Roman" w:hAnsi="Times New Roman" w:cs="Times New Roman"/>
          <w:color w:val="1A1A1A"/>
          <w:sz w:val="21"/>
          <w:szCs w:val="21"/>
        </w:rPr>
        <w:t>Appendix A.  Proof of Theorem 1</w:t>
      </w:r>
    </w:p>
    <w:p w14:paraId="4A13460A" w14:textId="77777777" w:rsidR="00BF43B4" w:rsidRDefault="00D37815">
      <w:pPr>
        <w:pStyle w:val="JCoSMLBody"/>
      </w:pPr>
      <w:r>
        <w:t>By Assumption 1 and the preconditioned upd</w:t>
      </w:r>
      <w:r>
        <w:t>ate rule, for any inner iterate wk we have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8100"/>
        <w:gridCol w:w="1538"/>
      </w:tblGrid>
      <w:tr w:rsidR="00BF43B4" w14:paraId="401A9BC3" w14:textId="77777777">
        <w:tblPrEx>
          <w:tblCellMar>
            <w:top w:w="0" w:type="dxa"/>
            <w:bottom w:w="0" w:type="dxa"/>
          </w:tblCellMar>
        </w:tblPrEx>
        <w:tc>
          <w:tcPr>
            <w:tcW w:w="81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072D542" w14:textId="77777777" w:rsidR="00BF43B4" w:rsidRDefault="00D37815">
            <w:pPr>
              <w:spacing w:before="120" w:after="120"/>
              <w:jc w:val="center"/>
            </w:pPr>
            <m:oMathPara>
              <m:oMath>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k</m:t>
                    </m:r>
                    <m:r>
                      <w:rPr>
                        <w:rFonts w:ascii="Cambria Math" w:hAnsi="Cambria Math"/>
                      </w:rPr>
                      <m:t>+1</m:t>
                    </m:r>
                  </m:sub>
                </m:sSub>
                <m:r>
                  <w:rPr>
                    <w:rFonts w:ascii="Cambria Math" w:hAnsi="Cambria Math"/>
                  </w:rPr>
                  <m:t xml:space="preserve">) ≤ </m:t>
                </m:r>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k</m:t>
                    </m:r>
                  </m:sub>
                </m:sSub>
                <m:r>
                  <w:rPr>
                    <w:rFonts w:ascii="Cambria Math" w:hAnsi="Cambria Math"/>
                  </w:rPr>
                  <m:t xml:space="preserve">) - </m:t>
                </m:r>
                <m:r>
                  <w:rPr>
                    <w:rFonts w:ascii="Cambria Math" w:hAnsi="Cambria Math"/>
                  </w:rPr>
                  <m:t>η</m:t>
                </m:r>
                <m:r>
                  <w:rPr>
                    <w:rFonts w:ascii="Cambria Math" w:hAnsi="Cambria Math"/>
                  </w:rPr>
                  <m:t xml:space="preserve"> </m:t>
                </m:r>
                <m:r>
                  <w:rPr>
                    <w:rFonts w:ascii="Cambria Math" w:hAnsi="Cambria Math"/>
                  </w:rPr>
                  <m:t>⟨</m:t>
                </m:r>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k</m:t>
                    </m:r>
                  </m:sub>
                </m:sSub>
                <m: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k</m:t>
                    </m:r>
                  </m:sub>
                </m:sSub>
                <m:sSup>
                  <m:sSupPr>
                    <m:ctrlPr>
                      <w:rPr>
                        <w:rFonts w:ascii="Cambria Math" w:hAnsi="Cambria Math"/>
                      </w:rPr>
                    </m:ctrlPr>
                  </m:sSupPr>
                  <m:e/>
                  <m:sup>
                    <m:r>
                      <w:rPr>
                        <w:rFonts w:ascii="Cambria Math" w:hAnsi="Cambria Math"/>
                      </w:rPr>
                      <m:t>-1</m:t>
                    </m:r>
                  </m:sup>
                </m:sSup>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 xml:space="preserve">⟩ + </m:t>
                </m:r>
                <m:f>
                  <m:fPr>
                    <m:ctrlPr>
                      <w:rPr>
                        <w:rFonts w:ascii="Cambria Math" w:hAnsi="Cambria Math"/>
                      </w:rPr>
                    </m:ctrlPr>
                  </m:fPr>
                  <m:num>
                    <m:r>
                      <w:rPr>
                        <w:rFonts w:ascii="Cambria Math" w:hAnsi="Cambria Math"/>
                      </w:rPr>
                      <m:t>L</m:t>
                    </m:r>
                    <m:r>
                      <w:rPr>
                        <w:rFonts w:ascii="Cambria Math" w:hAnsi="Cambria Math"/>
                      </w:rPr>
                      <m:t xml:space="preserve"> </m:t>
                    </m:r>
                    <m:r>
                      <w:rPr>
                        <w:rFonts w:ascii="Cambria Math" w:hAnsi="Cambria Math"/>
                      </w:rPr>
                      <m:t>η</m:t>
                    </m:r>
                    <m:sSup>
                      <m:sSupPr>
                        <m:ctrlPr>
                          <w:rPr>
                            <w:rFonts w:ascii="Cambria Math" w:hAnsi="Cambria Math"/>
                          </w:rPr>
                        </m:ctrlPr>
                      </m:sSupPr>
                      <m:e/>
                      <m:sup>
                        <m:r>
                          <w:rPr>
                            <w:rFonts w:ascii="Cambria Math" w:hAnsi="Cambria Math"/>
                          </w:rPr>
                          <m:t>2</m:t>
                        </m:r>
                      </m:sup>
                    </m:sSup>
                  </m:num>
                  <m:den>
                    <m:r>
                      <w:rPr>
                        <w:rFonts w:ascii="Cambria Math" w:hAnsi="Cambria Math"/>
                      </w:rPr>
                      <m:t>2</m:t>
                    </m:r>
                  </m:den>
                </m:f>
                <m: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k</m:t>
                    </m:r>
                  </m:sub>
                </m:sSub>
                <m:sSup>
                  <m:sSupPr>
                    <m:ctrlPr>
                      <w:rPr>
                        <w:rFonts w:ascii="Cambria Math" w:hAnsi="Cambria Math"/>
                      </w:rPr>
                    </m:ctrlPr>
                  </m:sSupPr>
                  <m:e/>
                  <m:sup>
                    <m:r>
                      <w:rPr>
                        <w:rFonts w:ascii="Cambria Math" w:hAnsi="Cambria Math"/>
                      </w:rPr>
                      <m:t>-1</m:t>
                    </m:r>
                  </m:sup>
                </m:sSup>
                <m:sSub>
                  <m:sSubPr>
                    <m:ctrlPr>
                      <w:rPr>
                        <w:rFonts w:ascii="Cambria Math" w:hAnsi="Cambria Math"/>
                      </w:rPr>
                    </m:ctrlPr>
                  </m:sSubPr>
                  <m:e>
                    <m:r>
                      <w:rPr>
                        <w:rFonts w:ascii="Cambria Math" w:hAnsi="Cambria Math"/>
                      </w:rPr>
                      <m:t>g</m:t>
                    </m:r>
                  </m:e>
                  <m:sub>
                    <m:r>
                      <w:rPr>
                        <w:rFonts w:ascii="Cambria Math" w:hAnsi="Cambria Math"/>
                      </w:rPr>
                      <m:t>k</m:t>
                    </m:r>
                  </m:sub>
                </m:sSub>
                <m:r>
                  <w:rPr>
                    <w:rFonts w:ascii="Cambria Math" w:hAnsi="Cambria Math"/>
                  </w:rPr>
                  <m:t>‖</m:t>
                </m:r>
                <m:sSup>
                  <m:sSupPr>
                    <m:ctrlPr>
                      <w:rPr>
                        <w:rFonts w:ascii="Cambria Math" w:hAnsi="Cambria Math"/>
                      </w:rPr>
                    </m:ctrlPr>
                  </m:sSupPr>
                  <m:e/>
                  <m:sup>
                    <m:r>
                      <w:rPr>
                        <w:rFonts w:ascii="Cambria Math" w:hAnsi="Cambria Math"/>
                      </w:rPr>
                      <m:t>2</m:t>
                    </m:r>
                  </m:sup>
                </m:sSup>
                <m:r>
                  <w:rPr>
                    <w:rFonts w:ascii="Cambria Math" w:hAnsi="Cambria Math"/>
                  </w:rPr>
                  <m:t xml:space="preserve"> .</m:t>
                </m:r>
              </m:oMath>
            </m:oMathPara>
          </w:p>
        </w:tc>
        <w:tc>
          <w:tcPr>
            <w:tcW w:w="15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06C26D6" w14:textId="77777777" w:rsidR="00BF43B4" w:rsidRDefault="00D37815">
            <w:pPr>
              <w:spacing w:before="120" w:after="120"/>
              <w:jc w:val="right"/>
            </w:pPr>
            <w:r>
              <w:t>(A.1)</w:t>
            </w:r>
          </w:p>
        </w:tc>
      </w:tr>
    </w:tbl>
    <w:p w14:paraId="57D64E45" w14:textId="77777777" w:rsidR="00BF43B4" w:rsidRDefault="00D37815">
      <w:pPr>
        <w:pStyle w:val="JCoSMLBody"/>
      </w:pPr>
      <w:r>
        <w:t>Taking conditional expectations, using the unbiasedness of the estimator (3), and bounding the preconditioner spectrum through Assumption 3 gives the per-iteration decrease. Summing over k = 0, …, K − 1, telescoping, and dividing by K yields (4). The contr</w:t>
      </w:r>
      <w:r>
        <w:t>action property of the snapshot correction, which controls the residual variance term, follows from the argument of [6, Lemma 3] applied under Assumption 2.  □</w:t>
      </w:r>
    </w:p>
    <w:p w14:paraId="5385A361" w14:textId="77777777" w:rsidR="00BF43B4" w:rsidRDefault="00D37815">
      <w:pPr>
        <w:pStyle w:val="Balk1"/>
      </w:pPr>
      <w:r>
        <w:rPr>
          <w:rFonts w:ascii="Times New Roman" w:eastAsia="Times New Roman" w:hAnsi="Times New Roman" w:cs="Times New Roman"/>
          <w:color w:val="1A1A1A"/>
          <w:sz w:val="21"/>
          <w:szCs w:val="21"/>
        </w:rPr>
        <w:t>References</w:t>
      </w:r>
    </w:p>
    <w:p w14:paraId="48D992CF" w14:textId="77777777" w:rsidR="00BF43B4" w:rsidRDefault="00D37815">
      <w:pPr>
        <w:pStyle w:val="JCoSMLReference"/>
      </w:pPr>
      <w:r>
        <w:t>[1]</w:t>
      </w:r>
      <w:r>
        <w:tab/>
      </w:r>
      <w:r>
        <w:t>D. P. Kingma and J. Ba, “Adam: A method for stochastic optimization,” in Proc. 3rd Int. Conf. Learn. Represent. (ICLR), San Diego, CA, USA, 2015.</w:t>
      </w:r>
    </w:p>
    <w:p w14:paraId="5DE1EF7B" w14:textId="77777777" w:rsidR="00BF43B4" w:rsidRDefault="00D37815">
      <w:pPr>
        <w:pStyle w:val="JCoSMLReference"/>
      </w:pPr>
      <w:r>
        <w:t>[2]</w:t>
      </w:r>
      <w:r>
        <w:tab/>
        <w:t>M. Raissi, P. Perdikaris, and G. E. Karniadakis, “Physics-informed neural networks: A deep learning framew</w:t>
      </w:r>
      <w:r>
        <w:t>ork for solving forward and inverse problems involving nonlinear partial differential equations,” J. Comput. Phys., vol. 378, pp. 686–707, 2019.</w:t>
      </w:r>
    </w:p>
    <w:p w14:paraId="3FAD2B2F" w14:textId="77777777" w:rsidR="00BF43B4" w:rsidRDefault="00D37815">
      <w:pPr>
        <w:pStyle w:val="JCoSMLReference"/>
      </w:pPr>
      <w:r>
        <w:lastRenderedPageBreak/>
        <w:t>[3]</w:t>
      </w:r>
      <w:r>
        <w:tab/>
        <w:t xml:space="preserve">G. E. Karniadakis, I. G. Kevrekidis, L. Lu, P. Perdikaris, S. Wang, and L. Yang, “Physics-informed machine </w:t>
      </w:r>
      <w:r>
        <w:t>learning,” Nat. Rev. Phys., vol. 3, no. 6, pp. 422–440, 2021.</w:t>
      </w:r>
    </w:p>
    <w:p w14:paraId="715E7A52" w14:textId="77777777" w:rsidR="00BF43B4" w:rsidRDefault="00D37815">
      <w:pPr>
        <w:pStyle w:val="JCoSMLReference"/>
      </w:pPr>
      <w:r>
        <w:t>[4]</w:t>
      </w:r>
      <w:r>
        <w:tab/>
        <w:t>J. Nocedal and S. J. Wright, Numerical Optimization, 2nd ed. New York, NY, USA: Springer, 2006.</w:t>
      </w:r>
    </w:p>
    <w:p w14:paraId="50878A3C" w14:textId="77777777" w:rsidR="00BF43B4" w:rsidRDefault="00D37815">
      <w:pPr>
        <w:pStyle w:val="JCoSMLReference"/>
      </w:pPr>
      <w:r>
        <w:t>[5]</w:t>
      </w:r>
      <w:r>
        <w:tab/>
        <w:t>L. Bottou, F. E. Curtis, and J. Nocedal, “Optimization methods for large-scale machine lea</w:t>
      </w:r>
      <w:r>
        <w:t>rning,” SIAM Rev., vol. 60, no. 2, pp. 223–311, 2018.</w:t>
      </w:r>
    </w:p>
    <w:p w14:paraId="7ACEEFBE" w14:textId="77777777" w:rsidR="00BF43B4" w:rsidRDefault="00D37815">
      <w:pPr>
        <w:pStyle w:val="JCoSMLReference"/>
      </w:pPr>
      <w:r>
        <w:t>[6]</w:t>
      </w:r>
      <w:r>
        <w:tab/>
        <w:t>R. Johnson and T. Zhang, “Accelerating stochastic gradient descent using predictive variance reduction,” in Adv. Neural Inf. Process. Syst., vol. 26, 2013, pp. 315–323.</w:t>
      </w:r>
    </w:p>
    <w:p w14:paraId="6FD044F5" w14:textId="77777777" w:rsidR="00BF43B4" w:rsidRDefault="00D37815">
      <w:pPr>
        <w:pStyle w:val="JCoSMLReference"/>
      </w:pPr>
      <w:r>
        <w:t>[7]</w:t>
      </w:r>
      <w:r>
        <w:tab/>
        <w:t>J. Duchi, E. Hazan, and Y</w:t>
      </w:r>
      <w:r>
        <w:t>. Singer, “Adaptive subgradient methods for online learning and stochastic optimization,” J. Mach. Learn. Res., vol. 12, pp. 2121–2159, 2011.</w:t>
      </w:r>
    </w:p>
    <w:p w14:paraId="23F24B70" w14:textId="77777777" w:rsidR="00BF43B4" w:rsidRDefault="00D37815">
      <w:pPr>
        <w:pStyle w:val="JCoSMLReference"/>
      </w:pPr>
      <w:r>
        <w:t>[8]</w:t>
      </w:r>
      <w:r>
        <w:tab/>
        <w:t>A. Defazio, F. Bach, and S. Lacoste-Julien, “SAGA: A fast incremental gradient method with support for non-str</w:t>
      </w:r>
      <w:r>
        <w:t>ongly convex composite objectives,” in Adv. Neural Inf. Process. Syst., vol. 27, 2014, pp. 1646–1654.</w:t>
      </w:r>
    </w:p>
    <w:p w14:paraId="2144D8D6" w14:textId="77777777" w:rsidR="00BF43B4" w:rsidRDefault="00D37815">
      <w:pPr>
        <w:pStyle w:val="JCoSMLReference"/>
      </w:pPr>
      <w:r>
        <w:t>[9]</w:t>
      </w:r>
      <w:r>
        <w:tab/>
        <w:t>S. J. Reddi, S. Kale, and S. Kumar, “On the convergence of Adam and beyond,” in Proc. 6th Int. Conf. Learn. Represent. (ICLR), Vancouver, Canada, 2018</w:t>
      </w:r>
      <w:r>
        <w:t>.</w:t>
      </w:r>
    </w:p>
    <w:p w14:paraId="693F58B7" w14:textId="77777777" w:rsidR="00BF43B4" w:rsidRDefault="00D37815">
      <w:pPr>
        <w:pStyle w:val="JCoSMLReference"/>
      </w:pPr>
      <w:r>
        <w:t>[10]</w:t>
      </w:r>
      <w:r>
        <w:tab/>
        <w:t>S. Wang, Y. Teng, and P. Perdikaris, “Understanding and mitigating gradient flow pathologies in physics-informed neural networks,” SIAM J. Sci. Comput., vol. 43, no. 5, pp. A3055–A3081, 2021.</w:t>
      </w:r>
    </w:p>
    <w:p w14:paraId="3E3B4F8E" w14:textId="77777777" w:rsidR="00BF43B4" w:rsidRDefault="00D37815">
      <w:pPr>
        <w:pStyle w:val="JCoSMLReference"/>
      </w:pPr>
      <w:r>
        <w:t>[11]</w:t>
      </w:r>
      <w:r>
        <w:tab/>
        <w:t>A. S. Krishnapriyan, A. Gholami, S. Zhe, R. M. Kirby</w:t>
      </w:r>
      <w:r>
        <w:t>, and M. W. Mahoney, “Characterizing possible failure modes in physics-informed neural networks,” in Adv. Neural Inf. Process. Syst., vol. 34, 2021, pp. 26548–26560.</w:t>
      </w:r>
    </w:p>
    <w:p w14:paraId="0467C3B8" w14:textId="77777777" w:rsidR="00BF43B4" w:rsidRDefault="00D37815">
      <w:pPr>
        <w:pStyle w:val="JCoSMLReference"/>
      </w:pPr>
      <w:r>
        <w:t>[12]</w:t>
      </w:r>
      <w:r>
        <w:tab/>
        <w:t xml:space="preserve">L. Lu, X. Meng, Z. Mao, and G. E. Karniadakis, “DeepXDE: A deep learning library for </w:t>
      </w:r>
      <w:r>
        <w:t>solving differential equations,” SIAM Rev., vol. 63, no. 1, pp. 208–228, 2021.</w:t>
      </w:r>
    </w:p>
    <w:p w14:paraId="1BCC281D" w14:textId="77777777" w:rsidR="00BF43B4" w:rsidRDefault="00D37815">
      <w:pPr>
        <w:pStyle w:val="JCoSMLReference"/>
      </w:pPr>
      <w:r>
        <w:t>[13]</w:t>
      </w:r>
      <w:r>
        <w:tab/>
        <w:t>L. D. McClenny and U. M. Braga-Neto, “Self-adaptive physics-informed neural networks,” J. Comput. Phys., vol. 474, art. no. 111722, 2023.</w:t>
      </w:r>
    </w:p>
    <w:p w14:paraId="022B91D8" w14:textId="77777777" w:rsidR="00BF43B4" w:rsidRDefault="00D37815">
      <w:pPr>
        <w:pStyle w:val="JCoSMLReference"/>
      </w:pPr>
      <w:r>
        <w:t>[14]</w:t>
      </w:r>
      <w:r>
        <w:tab/>
        <w:t>A. Beck and M. Teboulle, “A f</w:t>
      </w:r>
      <w:r>
        <w:t>ast iterative shrinkage-thresholding algorithm for linear inverse problems,” SIAM J. Imaging Sci., vol. 2, no. 1, pp. 183–202, 2009.</w:t>
      </w:r>
    </w:p>
    <w:p w14:paraId="5C86AC83" w14:textId="77777777" w:rsidR="00BF43B4" w:rsidRDefault="00D37815">
      <w:pPr>
        <w:pStyle w:val="JCoSMLReference"/>
      </w:pPr>
      <w:r>
        <w:t>[15]</w:t>
      </w:r>
      <w:r>
        <w:tab/>
        <w:t>D. C. Liu and J. Nocedal, “On the limited memory BFGS method for large scale optimization,” Math. Program., vol. 45, n</w:t>
      </w:r>
      <w:r>
        <w:t>o. 1–3, pp. 503–528, 1989.</w:t>
      </w:r>
    </w:p>
    <w:sectPr w:rsidR="00BF43B4">
      <w:headerReference w:type="even" r:id="rId8"/>
      <w:headerReference w:type="default" r:id="rId9"/>
      <w:footerReference w:type="even" r:id="rId10"/>
      <w:footerReference w:type="default" r:id="rId11"/>
      <w:headerReference w:type="first" r:id="rId12"/>
      <w:footerReference w:type="first" r:id="rId13"/>
      <w:pgSz w:w="11906" w:h="16838"/>
      <w:pgMar w:top="1560" w:right="1134" w:bottom="1360" w:left="1134" w:header="567"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D80BD" w14:textId="77777777" w:rsidR="00D37815" w:rsidRDefault="00D37815">
      <w:pPr>
        <w:spacing w:line="240" w:lineRule="auto"/>
      </w:pPr>
      <w:r>
        <w:separator/>
      </w:r>
    </w:p>
  </w:endnote>
  <w:endnote w:type="continuationSeparator" w:id="0">
    <w:p w14:paraId="133C880A" w14:textId="77777777" w:rsidR="00D37815" w:rsidRDefault="00D37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ACBD" w14:textId="77777777" w:rsidR="00C24497" w:rsidRDefault="00C2449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8F41C" w14:textId="77777777" w:rsidR="00BF43B4" w:rsidRDefault="00D37815">
    <w:pPr>
      <w:pBdr>
        <w:top w:val="single" w:sz="6" w:space="0" w:color="C9D8EC"/>
      </w:pBdr>
      <w:tabs>
        <w:tab w:val="right" w:pos="9638"/>
      </w:tabs>
      <w:spacing w:before="40"/>
    </w:pPr>
    <w:r>
      <w:rPr>
        <w:rFonts w:ascii="Calibri" w:eastAsia="Calibri" w:hAnsi="Calibri" w:cs="Calibri"/>
        <w:color w:val="5A5A5A"/>
        <w:sz w:val="14"/>
        <w:szCs w:val="14"/>
      </w:rPr>
      <w:t>© 2026 The Author(s). Published by JCoSML. Open access under CC BY 4.0.</w:t>
    </w:r>
    <w:r>
      <w:rPr>
        <w:rFonts w:ascii="Calibri" w:eastAsia="Calibri" w:hAnsi="Calibri" w:cs="Calibri"/>
        <w:sz w:val="14"/>
        <w:szCs w:val="14"/>
      </w:rPr>
      <w:tab/>
    </w:r>
    <w:r>
      <w:rPr>
        <w:rFonts w:ascii="Calibri" w:eastAsia="Calibri" w:hAnsi="Calibri" w:cs="Calibri"/>
        <w:b/>
        <w:bCs/>
        <w:color w:val="001864"/>
        <w:sz w:val="15"/>
        <w:szCs w:val="15"/>
      </w:rPr>
      <w:fldChar w:fldCharType="begin"/>
    </w:r>
    <w:r>
      <w:rPr>
        <w:rFonts w:ascii="Calibri" w:eastAsia="Calibri" w:hAnsi="Calibri" w:cs="Calibri"/>
        <w:b/>
        <w:bCs/>
        <w:color w:val="001864"/>
        <w:sz w:val="15"/>
        <w:szCs w:val="15"/>
      </w:rPr>
      <w:instrText>PAGE</w:instrText>
    </w:r>
    <w:r>
      <w:rPr>
        <w:rFonts w:ascii="Calibri" w:eastAsia="Calibri" w:hAnsi="Calibri" w:cs="Calibri"/>
        <w:b/>
        <w:bCs/>
        <w:color w:val="001864"/>
        <w:sz w:val="15"/>
        <w:szCs w:val="15"/>
      </w:rPr>
      <w:fldChar w:fldCharType="separate"/>
    </w:r>
    <w:r w:rsidR="00C24497">
      <w:rPr>
        <w:rFonts w:ascii="Calibri" w:eastAsia="Calibri" w:hAnsi="Calibri" w:cs="Calibri"/>
        <w:b/>
        <w:bCs/>
        <w:noProof/>
        <w:color w:val="001864"/>
        <w:sz w:val="15"/>
        <w:szCs w:val="15"/>
      </w:rPr>
      <w:t>2</w:t>
    </w:r>
    <w:r>
      <w:rPr>
        <w:rFonts w:ascii="Calibri" w:eastAsia="Calibri" w:hAnsi="Calibri" w:cs="Calibri"/>
        <w:b/>
        <w:bCs/>
        <w:color w:val="001864"/>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5B532" w14:textId="77777777" w:rsidR="00BF43B4" w:rsidRDefault="00D37815">
    <w:pPr>
      <w:pBdr>
        <w:top w:val="single" w:sz="6" w:space="0" w:color="C9D8EC"/>
      </w:pBdr>
      <w:tabs>
        <w:tab w:val="right" w:pos="9638"/>
      </w:tabs>
      <w:spacing w:before="40"/>
    </w:pPr>
    <w:r>
      <w:rPr>
        <w:rFonts w:ascii="Calibri" w:eastAsia="Calibri" w:hAnsi="Calibri" w:cs="Calibri"/>
        <w:color w:val="5A5A5A"/>
        <w:sz w:val="14"/>
        <w:szCs w:val="14"/>
      </w:rPr>
      <w:t>© 2026 The Author(s). Published by JCoSML. Open access under CC BY 4.0.</w:t>
    </w:r>
    <w:r>
      <w:rPr>
        <w:rFonts w:ascii="Calibri" w:eastAsia="Calibri" w:hAnsi="Calibri" w:cs="Calibri"/>
        <w:sz w:val="14"/>
        <w:szCs w:val="14"/>
      </w:rPr>
      <w:tab/>
    </w:r>
    <w:r>
      <w:rPr>
        <w:rFonts w:ascii="Calibri" w:eastAsia="Calibri" w:hAnsi="Calibri" w:cs="Calibri"/>
        <w:b/>
        <w:bCs/>
        <w:color w:val="001864"/>
        <w:sz w:val="15"/>
        <w:szCs w:val="15"/>
      </w:rPr>
      <w:fldChar w:fldCharType="begin"/>
    </w:r>
    <w:r>
      <w:rPr>
        <w:rFonts w:ascii="Calibri" w:eastAsia="Calibri" w:hAnsi="Calibri" w:cs="Calibri"/>
        <w:b/>
        <w:bCs/>
        <w:color w:val="001864"/>
        <w:sz w:val="15"/>
        <w:szCs w:val="15"/>
      </w:rPr>
      <w:instrText>PAGE</w:instrText>
    </w:r>
    <w:r>
      <w:rPr>
        <w:rFonts w:ascii="Calibri" w:eastAsia="Calibri" w:hAnsi="Calibri" w:cs="Calibri"/>
        <w:b/>
        <w:bCs/>
        <w:color w:val="001864"/>
        <w:sz w:val="15"/>
        <w:szCs w:val="15"/>
      </w:rPr>
      <w:fldChar w:fldCharType="separate"/>
    </w:r>
    <w:r w:rsidR="00C24497">
      <w:rPr>
        <w:rFonts w:ascii="Calibri" w:eastAsia="Calibri" w:hAnsi="Calibri" w:cs="Calibri"/>
        <w:b/>
        <w:bCs/>
        <w:noProof/>
        <w:color w:val="001864"/>
        <w:sz w:val="15"/>
        <w:szCs w:val="15"/>
      </w:rPr>
      <w:t>1</w:t>
    </w:r>
    <w:r>
      <w:rPr>
        <w:rFonts w:ascii="Calibri" w:eastAsia="Calibri" w:hAnsi="Calibri" w:cs="Calibri"/>
        <w:b/>
        <w:bCs/>
        <w:color w:val="001864"/>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94379" w14:textId="77777777" w:rsidR="00D37815" w:rsidRDefault="00D37815">
      <w:pPr>
        <w:spacing w:line="240" w:lineRule="auto"/>
      </w:pPr>
      <w:r>
        <w:separator/>
      </w:r>
    </w:p>
  </w:footnote>
  <w:footnote w:type="continuationSeparator" w:id="0">
    <w:p w14:paraId="0009FADD" w14:textId="77777777" w:rsidR="00D37815" w:rsidRDefault="00D378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B6DE5" w14:textId="77777777" w:rsidR="00C24497" w:rsidRDefault="00C2449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1D43A" w14:textId="77777777" w:rsidR="00BF43B4" w:rsidRDefault="00D37815">
    <w:pPr>
      <w:pBdr>
        <w:bottom w:val="single" w:sz="6" w:space="0" w:color="C9D8EC"/>
      </w:pBdr>
      <w:tabs>
        <w:tab w:val="right" w:pos="9638"/>
      </w:tabs>
      <w:spacing w:after="40"/>
    </w:pPr>
    <w:r>
      <w:rPr>
        <w:rFonts w:ascii="Calibri" w:eastAsia="Calibri" w:hAnsi="Calibri" w:cs="Calibri"/>
        <w:b/>
        <w:bCs/>
        <w:color w:val="001864"/>
        <w:sz w:val="15"/>
        <w:szCs w:val="15"/>
      </w:rPr>
      <w:t>JCoSML</w:t>
    </w:r>
    <w:r>
      <w:rPr>
        <w:rFonts w:ascii="Calibri" w:eastAsia="Calibri" w:hAnsi="Calibri" w:cs="Calibri"/>
        <w:color w:val="5A5A5A"/>
        <w:sz w:val="15"/>
        <w:szCs w:val="15"/>
      </w:rPr>
      <w:t xml:space="preserve"> · Journal of Computational Optimization and Scientific Machine Learning</w:t>
    </w:r>
    <w:r>
      <w:rPr>
        <w:rFonts w:ascii="Calibri" w:eastAsia="Calibri" w:hAnsi="Calibri" w:cs="Calibri"/>
        <w:sz w:val="15"/>
        <w:szCs w:val="15"/>
      </w:rPr>
      <w:tab/>
    </w:r>
    <w:r>
      <w:rPr>
        <w:rFonts w:ascii="Calibri" w:eastAsia="Calibri" w:hAnsi="Calibri" w:cs="Calibri"/>
        <w:color w:val="5A5A5A"/>
        <w:sz w:val="15"/>
        <w:szCs w:val="15"/>
      </w:rPr>
      <w:t>1(1) 2026, 1–18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780"/>
      <w:gridCol w:w="4720"/>
      <w:gridCol w:w="3138"/>
    </w:tblGrid>
    <w:tr w:rsidR="00BF43B4" w14:paraId="71058289" w14:textId="77777777">
      <w:tblPrEx>
        <w:tblCellMar>
          <w:top w:w="0" w:type="dxa"/>
          <w:bottom w:w="0" w:type="dxa"/>
        </w:tblCellMar>
      </w:tblPrEx>
      <w:tc>
        <w:tcPr>
          <w:tcW w:w="1780" w:type="dxa"/>
          <w:tcBorders>
            <w:top w:val="none" w:sz="0" w:space="0" w:color="FFFFFF"/>
            <w:left w:val="none" w:sz="0" w:space="0" w:color="FFFFFF"/>
            <w:bottom w:val="none" w:sz="0" w:space="0" w:color="FFFFFF"/>
            <w:right w:val="none" w:sz="0" w:space="0" w:color="FFFFFF"/>
          </w:tcBorders>
          <w:tcMar>
            <w:top w:w="0" w:type="dxa"/>
            <w:left w:w="0" w:type="dxa"/>
            <w:bottom w:w="0" w:type="dxa"/>
            <w:right w:w="200" w:type="dxa"/>
          </w:tcMar>
        </w:tcPr>
        <w:p w14:paraId="1D76BFAF" w14:textId="77777777" w:rsidR="00BF43B4" w:rsidRDefault="00D37815">
          <w:r>
            <w:rPr>
              <w:noProof/>
            </w:rPr>
            <w:drawing>
              <wp:inline distT="0" distB="0" distL="0" distR="0" wp14:anchorId="19B9E24C" wp14:editId="0B2B2FAB">
                <wp:extent cx="1066800" cy="10096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66800" cy="1009650"/>
                        </a:xfrm>
                        <a:prstGeom prst="rect">
                          <a:avLst/>
                        </a:prstGeom>
                      </pic:spPr>
                    </pic:pic>
                  </a:graphicData>
                </a:graphic>
              </wp:inline>
            </w:drawing>
          </w:r>
        </w:p>
      </w:tc>
      <w:tc>
        <w:tcPr>
          <w:tcW w:w="472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FA46268" w14:textId="77777777" w:rsidR="00BF43B4" w:rsidRDefault="00D37815">
          <w:pPr>
            <w:spacing w:after="20"/>
          </w:pPr>
          <w:r>
            <w:rPr>
              <w:rFonts w:ascii="Calibri" w:eastAsia="Calibri" w:hAnsi="Calibri" w:cs="Calibri"/>
              <w:b/>
              <w:bCs/>
              <w:color w:val="001864"/>
              <w:sz w:val="20"/>
              <w:szCs w:val="20"/>
            </w:rPr>
            <w:t>Journal of Computational Optimization</w:t>
          </w:r>
        </w:p>
        <w:p w14:paraId="5107575E" w14:textId="1153BAF3" w:rsidR="00BF43B4" w:rsidRDefault="00D37815" w:rsidP="00C24497">
          <w:pPr>
            <w:spacing w:after="70"/>
          </w:pPr>
          <w:r>
            <w:rPr>
              <w:rFonts w:ascii="Calibri" w:eastAsia="Calibri" w:hAnsi="Calibri" w:cs="Calibri"/>
              <w:b/>
              <w:bCs/>
              <w:color w:val="001864"/>
              <w:sz w:val="20"/>
              <w:szCs w:val="20"/>
            </w:rPr>
            <w:t>and Scientific Machine Learning</w:t>
          </w:r>
        </w:p>
      </w:tc>
      <w:tc>
        <w:tcPr>
          <w:tcW w:w="31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1AF9568" w14:textId="77777777" w:rsidR="00BF43B4" w:rsidRDefault="00D37815">
          <w:pPr>
            <w:spacing w:after="30"/>
            <w:jc w:val="right"/>
          </w:pPr>
          <w:r>
            <w:rPr>
              <w:rFonts w:ascii="Calibri" w:eastAsia="Calibri" w:hAnsi="Calibri" w:cs="Calibri"/>
              <w:b/>
              <w:bCs/>
              <w:color w:val="001864"/>
              <w:sz w:val="16"/>
              <w:szCs w:val="16"/>
            </w:rPr>
            <w:t>Volume 1 · Issue 1 · 2026</w:t>
          </w:r>
        </w:p>
        <w:p w14:paraId="68036B9B" w14:textId="77777777" w:rsidR="00BF43B4" w:rsidRDefault="00D37815">
          <w:pPr>
            <w:spacing w:after="30"/>
            <w:jc w:val="right"/>
          </w:pPr>
          <w:r>
            <w:rPr>
              <w:rFonts w:ascii="Calibri" w:eastAsia="Calibri" w:hAnsi="Calibri" w:cs="Calibri"/>
              <w:color w:val="5A5A5A"/>
              <w:sz w:val="15"/>
              <w:szCs w:val="15"/>
            </w:rPr>
            <w:t>Pages 1–18</w:t>
          </w:r>
        </w:p>
        <w:p w14:paraId="6643F552" w14:textId="77777777" w:rsidR="00BF43B4" w:rsidRDefault="00D37815">
          <w:pPr>
            <w:spacing w:after="30"/>
            <w:jc w:val="right"/>
          </w:pPr>
          <w:r>
            <w:rPr>
              <w:rFonts w:ascii="Calibri" w:eastAsia="Calibri" w:hAnsi="Calibri" w:cs="Calibri"/>
              <w:color w:val="5A5A5A"/>
              <w:sz w:val="15"/>
              <w:szCs w:val="15"/>
            </w:rPr>
            <w:t>ISSN 0000-0000 (Online)</w:t>
          </w:r>
        </w:p>
        <w:p w14:paraId="582726BA" w14:textId="77777777" w:rsidR="00BF43B4" w:rsidRDefault="00D37815">
          <w:pPr>
            <w:jc w:val="right"/>
          </w:pPr>
          <w:r>
            <w:rPr>
              <w:rFonts w:ascii="Calibri" w:eastAsia="Calibri" w:hAnsi="Calibri" w:cs="Calibri"/>
              <w:color w:val="1163C9"/>
              <w:sz w:val="15"/>
              <w:szCs w:val="15"/>
            </w:rPr>
            <w:t>https://doi.org/10.00000/jcosml.2026.1.1</w:t>
          </w:r>
        </w:p>
      </w:tc>
    </w:tr>
  </w:tbl>
  <w:p w14:paraId="7B6DC138" w14:textId="77777777" w:rsidR="00BF43B4" w:rsidRDefault="00BF43B4">
    <w:pPr>
      <w:pBdr>
        <w:bottom w:val="single" w:sz="12" w:space="0" w:color="001864"/>
      </w:pBdr>
      <w:spacing w:before="80"/>
    </w:pPr>
  </w:p>
  <w:p w14:paraId="3C9A807F" w14:textId="77777777" w:rsidR="00BF43B4" w:rsidRDefault="00BF43B4">
    <w:pPr>
      <w:pBdr>
        <w:bottom w:val="single" w:sz="6" w:space="0" w:color="01BFC9"/>
      </w:pBdr>
      <w:spacing w:before="20"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64164"/>
    <w:multiLevelType w:val="hybridMultilevel"/>
    <w:tmpl w:val="9B42C8B0"/>
    <w:lvl w:ilvl="0" w:tplc="BAF28E38">
      <w:start w:val="1"/>
      <w:numFmt w:val="bullet"/>
      <w:lvlText w:val="●"/>
      <w:lvlJc w:val="left"/>
      <w:pPr>
        <w:ind w:left="720" w:hanging="360"/>
      </w:pPr>
    </w:lvl>
    <w:lvl w:ilvl="1" w:tplc="8E1686D2">
      <w:start w:val="1"/>
      <w:numFmt w:val="bullet"/>
      <w:lvlText w:val="○"/>
      <w:lvlJc w:val="left"/>
      <w:pPr>
        <w:ind w:left="1440" w:hanging="360"/>
      </w:pPr>
    </w:lvl>
    <w:lvl w:ilvl="2" w:tplc="9CFE2C24">
      <w:start w:val="1"/>
      <w:numFmt w:val="bullet"/>
      <w:lvlText w:val="■"/>
      <w:lvlJc w:val="left"/>
      <w:pPr>
        <w:ind w:left="2160" w:hanging="360"/>
      </w:pPr>
    </w:lvl>
    <w:lvl w:ilvl="3" w:tplc="AED0E04A">
      <w:start w:val="1"/>
      <w:numFmt w:val="bullet"/>
      <w:lvlText w:val="●"/>
      <w:lvlJc w:val="left"/>
      <w:pPr>
        <w:ind w:left="2880" w:hanging="360"/>
      </w:pPr>
    </w:lvl>
    <w:lvl w:ilvl="4" w:tplc="3A62541C">
      <w:start w:val="1"/>
      <w:numFmt w:val="bullet"/>
      <w:lvlText w:val="○"/>
      <w:lvlJc w:val="left"/>
      <w:pPr>
        <w:ind w:left="3600" w:hanging="360"/>
      </w:pPr>
    </w:lvl>
    <w:lvl w:ilvl="5" w:tplc="1242EBDC">
      <w:start w:val="1"/>
      <w:numFmt w:val="bullet"/>
      <w:lvlText w:val="■"/>
      <w:lvlJc w:val="left"/>
      <w:pPr>
        <w:ind w:left="4320" w:hanging="360"/>
      </w:pPr>
    </w:lvl>
    <w:lvl w:ilvl="6" w:tplc="E02A44E6">
      <w:start w:val="1"/>
      <w:numFmt w:val="bullet"/>
      <w:lvlText w:val="●"/>
      <w:lvlJc w:val="left"/>
      <w:pPr>
        <w:ind w:left="5040" w:hanging="360"/>
      </w:pPr>
    </w:lvl>
    <w:lvl w:ilvl="7" w:tplc="AB127EF4">
      <w:start w:val="1"/>
      <w:numFmt w:val="bullet"/>
      <w:lvlText w:val="●"/>
      <w:lvlJc w:val="left"/>
      <w:pPr>
        <w:ind w:left="5760" w:hanging="360"/>
      </w:pPr>
    </w:lvl>
    <w:lvl w:ilvl="8" w:tplc="C6567D9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3B4"/>
    <w:rsid w:val="00BF43B4"/>
    <w:rsid w:val="00C24497"/>
    <w:rsid w:val="00D378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F9DF185"/>
  <w15:docId w15:val="{90093112-239F-499C-AE8C-8D72ECC1A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1A1A1A"/>
        <w:sz w:val="21"/>
        <w:szCs w:val="21"/>
        <w:lang w:val="tr-TR" w:eastAsia="tr-TR" w:bidi="ar-SA"/>
      </w:rPr>
    </w:rPrDefault>
    <w:pPrDefault>
      <w:pPr>
        <w:spacing w:line="27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next w:val="JCoSMLBody"/>
    <w:uiPriority w:val="9"/>
    <w:qFormat/>
    <w:pPr>
      <w:keepNext/>
      <w:spacing w:before="320" w:after="120"/>
      <w:outlineLvl w:val="0"/>
    </w:pPr>
    <w:rPr>
      <w:rFonts w:ascii="Calibri" w:eastAsia="Calibri" w:hAnsi="Calibri" w:cs="Calibri"/>
      <w:b/>
      <w:bCs/>
      <w:color w:val="001864"/>
      <w:sz w:val="25"/>
      <w:szCs w:val="25"/>
    </w:rPr>
  </w:style>
  <w:style w:type="paragraph" w:styleId="Balk2">
    <w:name w:val="heading 2"/>
    <w:next w:val="JCoSMLBody"/>
    <w:uiPriority w:val="9"/>
    <w:unhideWhenUsed/>
    <w:qFormat/>
    <w:pPr>
      <w:keepNext/>
      <w:spacing w:before="240" w:after="100"/>
      <w:outlineLvl w:val="1"/>
    </w:pPr>
    <w:rPr>
      <w:rFonts w:ascii="Calibri" w:eastAsia="Calibri" w:hAnsi="Calibri" w:cs="Calibri"/>
      <w:b/>
      <w:bCs/>
      <w:color w:val="16307F"/>
      <w:sz w:val="22"/>
      <w:szCs w:val="22"/>
    </w:rPr>
  </w:style>
  <w:style w:type="paragraph" w:styleId="Balk3">
    <w:name w:val="heading 3"/>
    <w:next w:val="JCoSMLBody"/>
    <w:uiPriority w:val="9"/>
    <w:semiHidden/>
    <w:unhideWhenUsed/>
    <w:qFormat/>
    <w:pPr>
      <w:keepNext/>
      <w:spacing w:before="200" w:after="80"/>
      <w:outlineLvl w:val="2"/>
    </w:pPr>
    <w:rPr>
      <w:rFonts w:ascii="Calibri" w:eastAsia="Calibri" w:hAnsi="Calibri" w:cs="Calibri"/>
      <w:b/>
      <w:bCs/>
      <w:i/>
      <w:iCs/>
      <w:color w:val="2B4C93"/>
      <w:sz w:val="20"/>
      <w:szCs w:val="20"/>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pPr>
      <w:spacing w:line="240" w:lineRule="auto"/>
    </w:pPr>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pPr>
      <w:spacing w:line="240" w:lineRule="auto"/>
    </w:pPr>
    <w:rPr>
      <w:sz w:val="20"/>
      <w:szCs w:val="20"/>
    </w:rPr>
  </w:style>
  <w:style w:type="character" w:customStyle="1" w:styleId="SonNotMetniChar">
    <w:name w:val="Son Not Metni Char"/>
    <w:link w:val="SonNotMetni"/>
    <w:uiPriority w:val="99"/>
    <w:semiHidden/>
    <w:unhideWhenUsed/>
    <w:rPr>
      <w:sz w:val="20"/>
      <w:szCs w:val="20"/>
    </w:rPr>
  </w:style>
  <w:style w:type="paragraph" w:customStyle="1" w:styleId="JCoSMLTitle">
    <w:name w:val="JCoSML Title"/>
    <w:qFormat/>
    <w:pPr>
      <w:spacing w:before="60" w:after="180" w:line="280" w:lineRule="auto"/>
    </w:pPr>
    <w:rPr>
      <w:rFonts w:ascii="Calibri" w:eastAsia="Calibri" w:hAnsi="Calibri" w:cs="Calibri"/>
      <w:b/>
      <w:bCs/>
      <w:color w:val="001864"/>
      <w:sz w:val="34"/>
      <w:szCs w:val="34"/>
    </w:rPr>
  </w:style>
  <w:style w:type="paragraph" w:customStyle="1" w:styleId="JCoSMLAbstract">
    <w:name w:val="JCoSML Abstract"/>
    <w:qFormat/>
    <w:pPr>
      <w:spacing w:line="250" w:lineRule="auto"/>
      <w:jc w:val="both"/>
    </w:pPr>
    <w:rPr>
      <w:sz w:val="19"/>
      <w:szCs w:val="19"/>
    </w:rPr>
  </w:style>
  <w:style w:type="paragraph" w:customStyle="1" w:styleId="JCoSMLBody">
    <w:name w:val="JCoSML Body"/>
    <w:next w:val="JCoSMLBodyIndented"/>
    <w:qFormat/>
    <w:pPr>
      <w:spacing w:line="275" w:lineRule="auto"/>
      <w:jc w:val="both"/>
    </w:pPr>
  </w:style>
  <w:style w:type="paragraph" w:customStyle="1" w:styleId="JCoSMLBodyIndented">
    <w:name w:val="JCoSML Body Indented"/>
    <w:basedOn w:val="JCoSMLBody"/>
    <w:qFormat/>
    <w:pPr>
      <w:ind w:firstLine="284"/>
    </w:pPr>
  </w:style>
  <w:style w:type="paragraph" w:customStyle="1" w:styleId="JCoSMLCaption">
    <w:name w:val="JCoSML Caption"/>
    <w:next w:val="JCoSMLBody"/>
    <w:qFormat/>
    <w:pPr>
      <w:spacing w:before="120" w:after="200" w:line="230" w:lineRule="auto"/>
      <w:jc w:val="center"/>
    </w:pPr>
    <w:rPr>
      <w:rFonts w:ascii="Calibri" w:eastAsia="Calibri" w:hAnsi="Calibri" w:cs="Calibri"/>
      <w:color w:val="262626"/>
      <w:sz w:val="17"/>
      <w:szCs w:val="17"/>
    </w:rPr>
  </w:style>
  <w:style w:type="paragraph" w:customStyle="1" w:styleId="JCoSMLTableCaption">
    <w:name w:val="JCoSML Table Caption"/>
    <w:basedOn w:val="JCoSMLCaption"/>
    <w:next w:val="JCoSMLBody"/>
    <w:qFormat/>
    <w:pPr>
      <w:spacing w:before="200" w:after="80"/>
      <w:jc w:val="left"/>
    </w:pPr>
  </w:style>
  <w:style w:type="paragraph" w:customStyle="1" w:styleId="JCoSMLReference">
    <w:name w:val="JCoSML Reference"/>
    <w:qFormat/>
    <w:pPr>
      <w:tabs>
        <w:tab w:val="left" w:pos="454"/>
      </w:tabs>
      <w:spacing w:after="60" w:line="240" w:lineRule="auto"/>
      <w:ind w:left="454" w:hanging="454"/>
      <w:jc w:val="both"/>
    </w:pPr>
    <w:rPr>
      <w:sz w:val="18"/>
      <w:szCs w:val="18"/>
    </w:rPr>
  </w:style>
  <w:style w:type="paragraph" w:customStyle="1" w:styleId="JCoSMLTheorem">
    <w:name w:val="JCoSML Theorem"/>
    <w:next w:val="JCoSMLBody"/>
    <w:qFormat/>
    <w:pPr>
      <w:spacing w:before="140" w:after="140" w:line="275" w:lineRule="auto"/>
      <w:ind w:left="227" w:right="227"/>
      <w:jc w:val="both"/>
    </w:pPr>
  </w:style>
  <w:style w:type="paragraph" w:styleId="stBilgi">
    <w:name w:val="header"/>
    <w:basedOn w:val="Normal"/>
    <w:link w:val="stBilgiChar"/>
    <w:uiPriority w:val="99"/>
    <w:unhideWhenUsed/>
    <w:rsid w:val="00C24497"/>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C24497"/>
  </w:style>
  <w:style w:type="paragraph" w:styleId="AltBilgi">
    <w:name w:val="footer"/>
    <w:basedOn w:val="Normal"/>
    <w:link w:val="AltBilgiChar"/>
    <w:uiPriority w:val="99"/>
    <w:unhideWhenUsed/>
    <w:rsid w:val="00C24497"/>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C2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2637</Words>
  <Characters>15032</Characters>
  <Application>Microsoft Office Word</Application>
  <DocSecurity>0</DocSecurity>
  <Lines>125</Lines>
  <Paragraphs>35</Paragraphs>
  <ScaleCrop>false</ScaleCrop>
  <Company/>
  <LinksUpToDate>false</LinksUpToDate>
  <CharactersWithSpaces>17634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JCoSML Manuscript Template</dc:title>
  <dc:creator>JCoSML Editorial Office</dc:creator>
  <dc:description>Official manuscript template of the Journal of Computational Optimization and Scientific Machine Learning</dc:description>
  <cp:lastModifiedBy>SALİH BERKAN AYDEMİR</cp:lastModifiedBy>
  <cp:revision>2</cp:revision>
  <dcterms:created xsi:type="dcterms:W3CDTF">2026-08-19T21:05:00Z</dcterms:created>
  <dcterms:modified xsi:type="dcterms:W3CDTF">2026-08-19T21:06:00Z</dcterms:modified>
</cp:coreProperties>
</file>